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00" w:afterAutospacing="1"/>
        <w:jc w:val="center"/>
        <w:rPr>
          <w:rFonts w:hint="eastAsia" w:asciiTheme="minorEastAsia" w:hAnsiTheme="minorEastAsia"/>
          <w:b/>
          <w:sz w:val="36"/>
          <w:szCs w:val="36"/>
        </w:rPr>
      </w:pPr>
      <w:bookmarkStart w:id="0" w:name="_GoBack"/>
      <w:bookmarkEnd w:id="0"/>
      <w:r>
        <w:rPr>
          <w:rFonts w:hint="eastAsia" w:asciiTheme="minorEastAsia" w:hAnsiTheme="minorEastAsia"/>
          <w:b/>
          <w:sz w:val="36"/>
          <w:szCs w:val="36"/>
        </w:rPr>
        <w:t>中银国际证券股份有限公司</w:t>
      </w:r>
    </w:p>
    <w:p>
      <w:pPr>
        <w:widowControl/>
        <w:spacing w:before="150" w:after="100" w:afterAutospacing="1"/>
        <w:jc w:val="center"/>
        <w:rPr>
          <w:rFonts w:hint="eastAsia" w:asciiTheme="minorEastAsia" w:hAnsiTheme="minorEastAsia"/>
          <w:b/>
          <w:sz w:val="36"/>
          <w:szCs w:val="36"/>
        </w:rPr>
      </w:pPr>
      <w:r>
        <w:rPr>
          <w:rFonts w:hint="eastAsia" w:asciiTheme="minorEastAsia" w:hAnsiTheme="minorEastAsia"/>
          <w:b/>
          <w:sz w:val="36"/>
          <w:szCs w:val="36"/>
        </w:rPr>
        <w:t>创业板融资融券交易重要事项告知书</w:t>
      </w:r>
    </w:p>
    <w:p>
      <w:pPr>
        <w:widowControl/>
        <w:spacing w:line="560" w:lineRule="exact"/>
        <w:jc w:val="left"/>
        <w:rPr>
          <w:rFonts w:hint="eastAsia" w:ascii="仿宋" w:hAnsi="仿宋" w:eastAsia="仿宋"/>
          <w:bCs/>
          <w:sz w:val="28"/>
          <w:szCs w:val="28"/>
        </w:rPr>
      </w:pPr>
      <w:r>
        <w:rPr>
          <w:rFonts w:hint="eastAsia" w:ascii="仿宋" w:hAnsi="仿宋" w:eastAsia="仿宋"/>
          <w:bCs/>
          <w:sz w:val="28"/>
          <w:szCs w:val="28"/>
        </w:rPr>
        <w:t>尊敬的投资者：</w:t>
      </w:r>
    </w:p>
    <w:p>
      <w:pPr>
        <w:autoSpaceDE w:val="0"/>
        <w:autoSpaceDN w:val="0"/>
        <w:adjustRightInd w:val="0"/>
        <w:ind w:firstLine="560" w:firstLineChars="20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您已</w:t>
      </w:r>
      <w:r>
        <w:rPr>
          <w:rFonts w:hint="eastAsia" w:ascii="仿宋" w:hAnsi="仿宋" w:eastAsia="仿宋" w:cs="仿宋_GB2312"/>
          <w:color w:val="000000"/>
          <w:kern w:val="0"/>
          <w:sz w:val="28"/>
          <w:szCs w:val="28"/>
          <w:lang w:val="zh-CN"/>
        </w:rPr>
        <w:t>通过《中银国际证券股份有限公司创业板投资风险揭示书》充分了解了创业板的交易风险，并已</w:t>
      </w:r>
      <w:r>
        <w:rPr>
          <w:rFonts w:hint="eastAsia" w:ascii="仿宋" w:hAnsi="仿宋" w:eastAsia="仿宋" w:cs="仿宋_GB2312"/>
          <w:color w:val="000000"/>
          <w:kern w:val="0"/>
          <w:sz w:val="28"/>
          <w:szCs w:val="28"/>
        </w:rPr>
        <w:t>开通普通账户创业板交易权限</w:t>
      </w:r>
      <w:r>
        <w:rPr>
          <w:rFonts w:hint="eastAsia" w:ascii="仿宋" w:hAnsi="仿宋" w:eastAsia="仿宋" w:cs="仿宋_GB2312"/>
          <w:color w:val="000000"/>
          <w:kern w:val="0"/>
          <w:sz w:val="28"/>
          <w:szCs w:val="28"/>
          <w:lang w:val="zh-CN"/>
        </w:rPr>
        <w:t>；您已签署《中银国际证券股份有限公司融资融券交易风险揭示书》，充分了解了融资融券交易的各项风险。创业板交易规则与深交所主板</w:t>
      </w:r>
      <w:r>
        <w:rPr>
          <w:rFonts w:hint="eastAsia" w:ascii="仿宋" w:hAnsi="仿宋" w:eastAsia="仿宋" w:cs="仿宋_GB2312"/>
          <w:color w:val="000000"/>
          <w:kern w:val="0"/>
          <w:sz w:val="28"/>
          <w:szCs w:val="28"/>
          <w:lang w:val="en-US" w:eastAsia="zh-CN"/>
        </w:rPr>
        <w:t>交易规则</w:t>
      </w:r>
      <w:r>
        <w:rPr>
          <w:rFonts w:hint="eastAsia" w:ascii="仿宋" w:hAnsi="仿宋" w:eastAsia="仿宋" w:cs="仿宋_GB2312"/>
          <w:color w:val="000000"/>
          <w:kern w:val="0"/>
          <w:sz w:val="28"/>
          <w:szCs w:val="28"/>
        </w:rPr>
        <w:t>存在</w:t>
      </w:r>
      <w:r>
        <w:rPr>
          <w:rFonts w:hint="eastAsia" w:ascii="仿宋" w:hAnsi="仿宋" w:eastAsia="仿宋" w:cs="仿宋_GB2312"/>
          <w:color w:val="000000"/>
          <w:kern w:val="0"/>
          <w:sz w:val="28"/>
          <w:szCs w:val="28"/>
          <w:lang w:val="zh-CN"/>
        </w:rPr>
        <w:t>较大的差异，投资者参与创业板融资融券交易较通过普通账户参与创业板交易具有更大风险</w:t>
      </w:r>
      <w:r>
        <w:rPr>
          <w:rFonts w:hint="eastAsia" w:ascii="仿宋" w:hAnsi="仿宋" w:eastAsia="仿宋" w:cs="仿宋_GB2312"/>
          <w:color w:val="000000"/>
          <w:kern w:val="0"/>
          <w:sz w:val="28"/>
          <w:szCs w:val="28"/>
        </w:rPr>
        <w:t>。按照监管要求，中银证券特向您明确告知创业板融资融券业务相关风险等重要事项，请认真阅读并自行选择是否参与创业板融资融券业务。</w:t>
      </w:r>
    </w:p>
    <w:p>
      <w:pPr>
        <w:autoSpaceDE w:val="0"/>
        <w:autoSpaceDN w:val="0"/>
        <w:adjustRightInd w:val="0"/>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融资融券交易与普通证券交易不同，具有财务杠杆放大效应，投资者虽然有机会以约定的担保物获取较大的收益，但也有可能蒙受巨额的损失。您参与创业板融资融券交易，在承担创业板股票交易独有的风险及融资融券业务风险的基础上，还需承担以下风险：</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1</w:t>
      </w:r>
      <w:r>
        <w:rPr>
          <w:rFonts w:hint="eastAsia" w:ascii="仿宋" w:hAnsi="仿宋" w:eastAsia="仿宋" w:cs="仿宋_GB2312"/>
          <w:color w:val="000000"/>
          <w:kern w:val="0"/>
          <w:sz w:val="28"/>
          <w:szCs w:val="28"/>
          <w:lang w:val="zh-CN"/>
        </w:rPr>
        <w:t>、您在信用证券账户内参与创业板股票交易及发生其他相关事项，应遵守监管部门及我司制定的相关法律法规、规章制度、业务规则或其他规范性文件，我司有权根据监管要求、风险管理需要及市场情况等，对以上文件及相关业务管理与风险控制的规则、标准、指标、阈值等进行调整，您应注意上述事项对您创业板融资融券交易的影响，并自行承担可能造成经济损失的风险。</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2</w:t>
      </w:r>
      <w:r>
        <w:rPr>
          <w:rFonts w:hint="eastAsia" w:ascii="仿宋" w:hAnsi="仿宋" w:eastAsia="仿宋" w:cs="仿宋_GB2312"/>
          <w:color w:val="000000"/>
          <w:kern w:val="0"/>
          <w:sz w:val="28"/>
          <w:szCs w:val="28"/>
          <w:lang w:val="zh-CN"/>
        </w:rPr>
        <w:t>、创业板股票竞价交易的涨跌幅限制与交易所主板交易存在较大差异，</w:t>
      </w:r>
      <w:r>
        <w:rPr>
          <w:rFonts w:hint="eastAsia" w:ascii="仿宋" w:hAnsi="仿宋" w:eastAsia="仿宋" w:cs="仿宋_GB2312"/>
          <w:b/>
          <w:bCs/>
          <w:color w:val="000000"/>
          <w:kern w:val="0"/>
          <w:sz w:val="28"/>
          <w:szCs w:val="28"/>
          <w:lang w:val="zh-CN"/>
        </w:rPr>
        <w:t>创业板股票涨跌幅限制比例为20%，且</w:t>
      </w:r>
      <w:r>
        <w:rPr>
          <w:rFonts w:hint="eastAsia" w:ascii="仿宋" w:hAnsi="仿宋" w:eastAsia="仿宋" w:cs="仿宋_GB2312"/>
          <w:b/>
          <w:bCs/>
          <w:color w:val="000000"/>
          <w:kern w:val="0"/>
          <w:sz w:val="28"/>
          <w:szCs w:val="28"/>
          <w:lang w:val="en-US" w:eastAsia="zh-CN"/>
        </w:rPr>
        <w:t>在首次公开发行</w:t>
      </w:r>
      <w:r>
        <w:rPr>
          <w:rFonts w:hint="eastAsia" w:ascii="仿宋" w:hAnsi="仿宋" w:eastAsia="仿宋" w:cs="仿宋_GB2312"/>
          <w:b/>
          <w:bCs/>
          <w:color w:val="000000"/>
          <w:kern w:val="0"/>
          <w:sz w:val="28"/>
          <w:szCs w:val="28"/>
          <w:lang w:val="zh-CN"/>
        </w:rPr>
        <w:t>上市</w:t>
      </w:r>
      <w:r>
        <w:rPr>
          <w:rFonts w:hint="eastAsia" w:ascii="仿宋" w:hAnsi="仿宋" w:eastAsia="仿宋" w:cs="仿宋_GB2312"/>
          <w:b/>
          <w:bCs/>
          <w:color w:val="000000"/>
          <w:kern w:val="0"/>
          <w:sz w:val="28"/>
          <w:szCs w:val="28"/>
          <w:lang w:val="en-US" w:eastAsia="zh-CN"/>
        </w:rPr>
        <w:t>后的</w:t>
      </w:r>
      <w:r>
        <w:rPr>
          <w:rFonts w:hint="eastAsia" w:ascii="仿宋" w:hAnsi="仿宋" w:eastAsia="仿宋" w:cs="仿宋_GB2312"/>
          <w:b/>
          <w:bCs/>
          <w:color w:val="000000"/>
          <w:kern w:val="0"/>
          <w:sz w:val="28"/>
          <w:szCs w:val="28"/>
          <w:lang w:val="zh-CN"/>
        </w:rPr>
        <w:t>前5个交易日、</w:t>
      </w:r>
      <w:r>
        <w:rPr>
          <w:rFonts w:hint="eastAsia" w:ascii="仿宋" w:hAnsi="仿宋" w:eastAsia="仿宋" w:cs="仿宋_GB2312"/>
          <w:b/>
          <w:bCs/>
          <w:color w:val="000000"/>
          <w:kern w:val="0"/>
          <w:sz w:val="28"/>
          <w:szCs w:val="28"/>
        </w:rPr>
        <w:t>重新上市首日、进入退市整理期的首日以及深交所认定的其他情形下</w:t>
      </w:r>
      <w:r>
        <w:rPr>
          <w:rFonts w:hint="eastAsia" w:ascii="仿宋" w:hAnsi="仿宋" w:eastAsia="仿宋" w:cs="仿宋_GB2312"/>
          <w:b/>
          <w:bCs/>
          <w:color w:val="000000"/>
          <w:kern w:val="0"/>
          <w:sz w:val="28"/>
          <w:szCs w:val="28"/>
          <w:lang w:val="zh-CN"/>
        </w:rPr>
        <w:t>不设涨跌幅限制</w:t>
      </w:r>
      <w:r>
        <w:rPr>
          <w:rFonts w:hint="eastAsia" w:ascii="仿宋" w:hAnsi="仿宋" w:eastAsia="仿宋" w:cs="仿宋_GB2312"/>
          <w:color w:val="000000"/>
          <w:kern w:val="0"/>
          <w:sz w:val="28"/>
          <w:szCs w:val="28"/>
          <w:lang w:val="zh-CN"/>
        </w:rPr>
        <w:t>；因此创业板股票交易面临更大的股价波动风险，您在信用账户内交易创业板股票，将面临着融资融券交易特有的杠杆效应可能致使投资损失放大等风险，您的信用账户可能更容易触发《融资融券合同》约定的追加担保物、强制平仓甚至资不抵债等风险，发生除损失本金外，您还需要偿还对我司的融资融券负债、相关利息、费用、其他负债等风险，并承担因违约影响您的信用记录的风险。</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3</w:t>
      </w:r>
      <w:r>
        <w:rPr>
          <w:rFonts w:hint="eastAsia" w:ascii="仿宋" w:hAnsi="仿宋" w:eastAsia="仿宋" w:cs="仿宋_GB2312"/>
          <w:color w:val="000000"/>
          <w:kern w:val="0"/>
          <w:sz w:val="28"/>
          <w:szCs w:val="28"/>
          <w:lang w:val="zh-CN"/>
        </w:rPr>
        <w:t>、为防范创业板股票股价波幅较大而引发的违约风险，我司有权对您的信用证券账户设置创业板股票交易集中度控制，包括但不限于单一证券集中度、单一板块集中度、合并板块集中度、展期集中度等指标，</w:t>
      </w:r>
      <w:r>
        <w:rPr>
          <w:rFonts w:hint="eastAsia" w:ascii="仿宋" w:hAnsi="仿宋" w:eastAsia="仿宋" w:cs="仿宋_GB2312"/>
          <w:b/>
          <w:bCs/>
          <w:color w:val="000000"/>
          <w:kern w:val="0"/>
          <w:sz w:val="28"/>
          <w:szCs w:val="28"/>
          <w:lang w:val="zh-CN"/>
        </w:rPr>
        <w:t>创业板集中度指标也有所涉及，</w:t>
      </w:r>
      <w:r>
        <w:rPr>
          <w:rFonts w:hint="eastAsia" w:ascii="仿宋" w:hAnsi="仿宋" w:eastAsia="仿宋" w:cs="仿宋_GB2312"/>
          <w:color w:val="000000"/>
          <w:kern w:val="0"/>
          <w:sz w:val="28"/>
          <w:szCs w:val="28"/>
          <w:lang w:val="zh-CN"/>
        </w:rPr>
        <w:t>并有权实施动态调整等机制，由此将对您</w:t>
      </w:r>
      <w:r>
        <w:rPr>
          <w:rFonts w:hint="eastAsia" w:ascii="仿宋" w:hAnsi="仿宋" w:eastAsia="仿宋" w:cs="仿宋_GB2312"/>
          <w:b/>
          <w:bCs/>
          <w:color w:val="000000"/>
          <w:kern w:val="0"/>
          <w:sz w:val="28"/>
          <w:szCs w:val="28"/>
          <w:lang w:val="zh-CN"/>
        </w:rPr>
        <w:t>信用账户买入</w:t>
      </w:r>
      <w:r>
        <w:rPr>
          <w:rFonts w:hint="eastAsia" w:ascii="仿宋" w:hAnsi="仿宋" w:eastAsia="仿宋" w:cs="仿宋_GB2312"/>
          <w:color w:val="000000"/>
          <w:kern w:val="0"/>
          <w:sz w:val="28"/>
          <w:szCs w:val="28"/>
          <w:lang w:val="zh-CN"/>
        </w:rPr>
        <w:t>（含担保品买入和融资买入）创业板股票及创业板相关</w:t>
      </w:r>
      <w:r>
        <w:rPr>
          <w:rFonts w:hint="eastAsia" w:ascii="仿宋" w:hAnsi="仿宋" w:eastAsia="仿宋" w:cs="仿宋_GB2312"/>
          <w:b/>
          <w:bCs/>
          <w:color w:val="000000"/>
          <w:kern w:val="0"/>
          <w:sz w:val="28"/>
          <w:szCs w:val="28"/>
          <w:lang w:val="zh-CN"/>
        </w:rPr>
        <w:t>合约展期</w:t>
      </w:r>
      <w:r>
        <w:rPr>
          <w:rFonts w:hint="eastAsia" w:ascii="仿宋" w:hAnsi="仿宋" w:eastAsia="仿宋" w:cs="仿宋_GB2312"/>
          <w:color w:val="000000"/>
          <w:kern w:val="0"/>
          <w:sz w:val="28"/>
          <w:szCs w:val="28"/>
          <w:lang w:val="zh-CN"/>
        </w:rPr>
        <w:t>等产生影响，可能造成的损失需由您自行承担。</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4</w:t>
      </w:r>
      <w:r>
        <w:rPr>
          <w:rFonts w:hint="eastAsia" w:ascii="仿宋" w:hAnsi="仿宋" w:eastAsia="仿宋" w:cs="仿宋_GB2312"/>
          <w:color w:val="000000"/>
          <w:kern w:val="0"/>
          <w:sz w:val="28"/>
          <w:szCs w:val="28"/>
          <w:lang w:val="zh-CN"/>
        </w:rPr>
        <w:t>、为防范创业板股票股价波幅较大而引发的违约风险，我司有权针对创业板股票制订更为严格的包括但不限于折算率、保证金比例等关键指标的设置标准，并有权实施动态调整等机制，由此将对您的融资融券交易产生影响，您需自行承担可能带来的经济损失风险。</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5</w:t>
      </w:r>
      <w:r>
        <w:rPr>
          <w:rFonts w:hint="eastAsia" w:ascii="仿宋" w:hAnsi="仿宋" w:eastAsia="仿宋" w:cs="仿宋_GB2312"/>
          <w:color w:val="000000"/>
          <w:kern w:val="0"/>
          <w:sz w:val="28"/>
          <w:szCs w:val="28"/>
          <w:lang w:val="zh-CN"/>
        </w:rPr>
        <w:t>、为防范创业板股票作为担保物其价值大幅波动的风险，我司有权设置更为严格的盯市与平仓标准，若您信用账户维持担保比例未达到该标准，我司有权按照约定对您的信用账户采取强制平仓措施，可能造成的损失需由您自行承担。</w:t>
      </w:r>
    </w:p>
    <w:p>
      <w:pPr>
        <w:autoSpaceDE w:val="0"/>
        <w:autoSpaceDN w:val="0"/>
        <w:adjustRightInd w:val="0"/>
        <w:jc w:val="left"/>
        <w:rPr>
          <w:rFonts w:hint="eastAsia" w:ascii="仿宋" w:hAnsi="仿宋" w:eastAsia="仿宋" w:cs="仿宋_GB2312"/>
          <w:color w:val="000000"/>
          <w:kern w:val="0"/>
          <w:sz w:val="28"/>
          <w:szCs w:val="28"/>
          <w:lang w:val="zh-CN"/>
        </w:rPr>
      </w:pPr>
      <w:r>
        <w:rPr>
          <w:rFonts w:ascii="仿宋" w:hAnsi="仿宋" w:eastAsia="仿宋" w:cs="仿宋_GB2312"/>
          <w:color w:val="000000"/>
          <w:kern w:val="0"/>
          <w:sz w:val="28"/>
          <w:szCs w:val="28"/>
          <w:lang w:val="zh-CN"/>
        </w:rPr>
        <w:t xml:space="preserve">    6</w:t>
      </w:r>
      <w:r>
        <w:rPr>
          <w:rFonts w:hint="eastAsia" w:ascii="仿宋" w:hAnsi="仿宋" w:eastAsia="仿宋" w:cs="仿宋_GB2312"/>
          <w:color w:val="000000"/>
          <w:kern w:val="0"/>
          <w:sz w:val="28"/>
          <w:szCs w:val="28"/>
          <w:lang w:val="zh-CN"/>
        </w:rPr>
        <w:t>、创业板股票实施</w:t>
      </w:r>
      <w:r>
        <w:rPr>
          <w:rFonts w:hint="eastAsia" w:ascii="仿宋" w:hAnsi="仿宋" w:eastAsia="仿宋" w:cs="仿宋_GB2312"/>
          <w:b/>
          <w:bCs/>
          <w:color w:val="000000"/>
          <w:kern w:val="0"/>
          <w:sz w:val="28"/>
          <w:szCs w:val="28"/>
          <w:lang w:val="zh-CN"/>
        </w:rPr>
        <w:t>更为严格的退市制度</w:t>
      </w:r>
      <w:r>
        <w:rPr>
          <w:rFonts w:hint="eastAsia" w:ascii="仿宋" w:hAnsi="仿宋" w:eastAsia="仿宋" w:cs="仿宋_GB2312"/>
          <w:color w:val="000000"/>
          <w:kern w:val="0"/>
          <w:sz w:val="28"/>
          <w:szCs w:val="28"/>
          <w:lang w:val="zh-CN"/>
        </w:rPr>
        <w:t>，为防范由此带来的风险，我司有权对包括创业板股票在内的可充抵保证金证券、标的证券范围及</w:t>
      </w:r>
      <w:r>
        <w:rPr>
          <w:rFonts w:hint="eastAsia" w:ascii="仿宋" w:hAnsi="仿宋" w:eastAsia="仿宋" w:cs="仿宋_GB2312"/>
          <w:b/>
          <w:bCs/>
          <w:color w:val="000000"/>
          <w:kern w:val="0"/>
          <w:sz w:val="28"/>
          <w:szCs w:val="28"/>
          <w:lang w:val="zh-CN"/>
        </w:rPr>
        <w:t>证券公允价格</w:t>
      </w:r>
      <w:r>
        <w:rPr>
          <w:rFonts w:hint="eastAsia" w:ascii="仿宋" w:hAnsi="仿宋" w:eastAsia="仿宋" w:cs="仿宋_GB2312"/>
          <w:color w:val="000000"/>
          <w:kern w:val="0"/>
          <w:sz w:val="28"/>
          <w:szCs w:val="28"/>
          <w:lang w:val="zh-CN"/>
        </w:rPr>
        <w:t>等进行调整，并有权要求您提前归还负债等措施，您需自行承担可能带来的经济损失风险。</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您还需充分了解：</w:t>
      </w:r>
      <w:r>
        <w:rPr>
          <w:rFonts w:ascii="仿宋" w:hAnsi="仿宋" w:eastAsia="仿宋" w:cs="仿宋_GB2312"/>
          <w:color w:val="000000"/>
          <w:kern w:val="0"/>
          <w:sz w:val="28"/>
          <w:szCs w:val="28"/>
          <w:lang w:val="zh-CN"/>
        </w:rPr>
        <w:br w:type="textWrapping"/>
      </w:r>
      <w:r>
        <w:rPr>
          <w:rFonts w:hint="eastAsia" w:ascii="仿宋" w:hAnsi="仿宋" w:eastAsia="仿宋" w:cs="仿宋_GB2312"/>
          <w:color w:val="000000"/>
          <w:kern w:val="0"/>
          <w:sz w:val="28"/>
          <w:szCs w:val="28"/>
          <w:lang w:val="zh-CN"/>
        </w:rPr>
        <w:t>　　1、投资者在参与创业板股票投资前，应当充分知悉创业板股票发行、上市、交易、持续监管等相关制度安排，深入了解相关上市公司基本面情况，并根据自身财务状况、风险承受能力等，审慎考虑是否申购、交易创业板股票。</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2、</w:t>
      </w:r>
      <w:r>
        <w:rPr>
          <w:rFonts w:hint="eastAsia" w:ascii="仿宋" w:hAnsi="仿宋" w:eastAsia="仿宋" w:cs="仿宋_GB2312"/>
          <w:color w:val="000000"/>
          <w:kern w:val="0"/>
          <w:sz w:val="28"/>
          <w:szCs w:val="28"/>
          <w:lang w:val="zh-CN"/>
        </w:rPr>
        <w:t>创业板上市公司往往</w:t>
      </w:r>
      <w:r>
        <w:rPr>
          <w:rFonts w:hint="eastAsia" w:ascii="仿宋" w:hAnsi="仿宋" w:eastAsia="仿宋" w:cs="仿宋_GB2312"/>
          <w:color w:val="000000"/>
          <w:kern w:val="0"/>
          <w:sz w:val="28"/>
          <w:szCs w:val="28"/>
        </w:rPr>
        <w:t>涉足</w:t>
      </w:r>
      <w:r>
        <w:rPr>
          <w:rFonts w:hint="eastAsia" w:ascii="仿宋" w:hAnsi="仿宋" w:eastAsia="仿宋" w:cs="仿宋_GB2312"/>
          <w:color w:val="000000"/>
          <w:kern w:val="0"/>
          <w:sz w:val="28"/>
          <w:szCs w:val="28"/>
          <w:lang w:val="zh-CN"/>
        </w:rPr>
        <w:t>新技术、</w:t>
      </w:r>
      <w:r>
        <w:rPr>
          <w:rFonts w:hint="eastAsia" w:ascii="仿宋" w:hAnsi="仿宋" w:eastAsia="仿宋" w:cs="仿宋_GB2312"/>
          <w:color w:val="000000"/>
          <w:kern w:val="0"/>
          <w:sz w:val="28"/>
          <w:szCs w:val="28"/>
        </w:rPr>
        <w:t>新产业、</w:t>
      </w:r>
      <w:r>
        <w:rPr>
          <w:rFonts w:hint="eastAsia" w:ascii="仿宋" w:hAnsi="仿宋" w:eastAsia="仿宋" w:cs="仿宋_GB2312"/>
          <w:color w:val="000000"/>
          <w:kern w:val="0"/>
          <w:sz w:val="28"/>
          <w:szCs w:val="28"/>
          <w:lang w:val="zh-CN"/>
        </w:rPr>
        <w:t>新业态、新模式、，具有初期投入高、技术迭代快、业绩波动大等特点，公司上市后的持续创新能力、盈利能力、</w:t>
      </w:r>
      <w:r>
        <w:rPr>
          <w:rFonts w:hint="eastAsia" w:ascii="仿宋" w:hAnsi="仿宋" w:eastAsia="仿宋" w:cs="仿宋_GB2312"/>
          <w:color w:val="000000"/>
          <w:kern w:val="0"/>
          <w:sz w:val="28"/>
          <w:szCs w:val="28"/>
        </w:rPr>
        <w:t>发展潜力</w:t>
      </w:r>
      <w:r>
        <w:rPr>
          <w:rFonts w:hint="eastAsia" w:ascii="仿宋" w:hAnsi="仿宋" w:eastAsia="仿宋" w:cs="仿宋_GB2312"/>
          <w:color w:val="000000"/>
          <w:kern w:val="0"/>
          <w:sz w:val="28"/>
          <w:szCs w:val="28"/>
          <w:lang w:val="zh-CN"/>
        </w:rPr>
        <w:t>和抗风险能力</w:t>
      </w:r>
      <w:r>
        <w:rPr>
          <w:rFonts w:hint="eastAsia" w:ascii="仿宋" w:hAnsi="仿宋" w:eastAsia="仿宋" w:cs="仿宋_GB2312"/>
          <w:color w:val="000000"/>
          <w:kern w:val="0"/>
          <w:sz w:val="28"/>
          <w:szCs w:val="28"/>
        </w:rPr>
        <w:t>等</w:t>
      </w:r>
      <w:r>
        <w:rPr>
          <w:rFonts w:hint="eastAsia" w:ascii="仿宋" w:hAnsi="仿宋" w:eastAsia="仿宋" w:cs="仿宋_GB2312"/>
          <w:color w:val="000000"/>
          <w:kern w:val="0"/>
          <w:sz w:val="28"/>
          <w:szCs w:val="28"/>
          <w:lang w:val="zh-CN"/>
        </w:rPr>
        <w:t>具不确定性。</w:t>
      </w:r>
      <w:r>
        <w:rPr>
          <w:rFonts w:ascii="仿宋" w:hAnsi="仿宋" w:eastAsia="仿宋" w:cs="仿宋_GB2312"/>
          <w:color w:val="000000"/>
          <w:kern w:val="0"/>
          <w:sz w:val="28"/>
          <w:szCs w:val="28"/>
        </w:rPr>
        <w:t>投资者应当关注相关风险。</w:t>
      </w:r>
    </w:p>
    <w:p>
      <w:pPr>
        <w:widowControl/>
        <w:ind w:firstLine="560" w:firstLineChars="200"/>
        <w:jc w:val="left"/>
        <w:rPr>
          <w:rFonts w:hint="eastAsia" w:ascii="仿宋" w:hAnsi="仿宋" w:eastAsia="仿宋" w:cs="仿宋_GB2312"/>
          <w:color w:val="000000"/>
          <w:kern w:val="0"/>
          <w:sz w:val="28"/>
          <w:szCs w:val="28"/>
          <w:lang w:val="zh-CN" w:eastAsia="zh-CN"/>
        </w:rPr>
      </w:pPr>
      <w:r>
        <w:rPr>
          <w:rFonts w:hint="eastAsia" w:ascii="仿宋" w:hAnsi="仿宋" w:eastAsia="仿宋" w:cs="仿宋_GB2312"/>
          <w:color w:val="000000"/>
          <w:kern w:val="0"/>
          <w:sz w:val="28"/>
          <w:szCs w:val="28"/>
        </w:rPr>
        <w:t>3</w:t>
      </w:r>
      <w:r>
        <w:rPr>
          <w:rFonts w:hint="eastAsia" w:ascii="仿宋" w:hAnsi="仿宋" w:eastAsia="仿宋" w:cs="仿宋_GB2312"/>
          <w:color w:val="000000"/>
          <w:kern w:val="0"/>
          <w:sz w:val="28"/>
          <w:szCs w:val="28"/>
          <w:lang w:val="zh-CN"/>
        </w:rPr>
        <w:t>、创业板上市公司可能存在首次公开发行前最近</w:t>
      </w:r>
      <w:r>
        <w:rPr>
          <w:rFonts w:ascii="仿宋" w:hAnsi="仿宋" w:eastAsia="仿宋" w:cs="仿宋_GB2312"/>
          <w:color w:val="000000"/>
          <w:kern w:val="0"/>
          <w:sz w:val="28"/>
          <w:szCs w:val="28"/>
          <w:lang w:val="zh-CN"/>
        </w:rPr>
        <w:t>3</w:t>
      </w:r>
      <w:r>
        <w:rPr>
          <w:rFonts w:hint="eastAsia" w:ascii="仿宋" w:hAnsi="仿宋" w:eastAsia="仿宋" w:cs="仿宋_GB2312"/>
          <w:color w:val="000000"/>
          <w:kern w:val="0"/>
          <w:sz w:val="28"/>
          <w:szCs w:val="28"/>
          <w:lang w:val="zh-CN"/>
        </w:rPr>
        <w:t>个会计年度未能连续盈利、公开发行并上市时尚未盈利、有累计未弥补亏损，以及在上市后</w:t>
      </w:r>
      <w:r>
        <w:rPr>
          <w:rFonts w:hint="eastAsia" w:ascii="仿宋" w:hAnsi="仿宋" w:eastAsia="仿宋" w:cs="仿宋_GB2312"/>
          <w:color w:val="000000"/>
          <w:kern w:val="0"/>
          <w:sz w:val="28"/>
          <w:szCs w:val="28"/>
          <w:lang w:val="en-US" w:eastAsia="zh-CN"/>
        </w:rPr>
        <w:t>盈利情况</w:t>
      </w:r>
      <w:r>
        <w:rPr>
          <w:rFonts w:hint="eastAsia" w:ascii="仿宋" w:hAnsi="仿宋" w:eastAsia="仿宋" w:cs="仿宋_GB2312"/>
          <w:color w:val="000000"/>
          <w:kern w:val="0"/>
          <w:sz w:val="28"/>
          <w:szCs w:val="28"/>
          <w:lang w:val="zh-CN"/>
        </w:rPr>
        <w:t>仍无法</w:t>
      </w:r>
      <w:r>
        <w:rPr>
          <w:rFonts w:hint="eastAsia" w:ascii="仿宋" w:hAnsi="仿宋" w:eastAsia="仿宋" w:cs="仿宋_GB2312"/>
          <w:color w:val="000000"/>
          <w:kern w:val="0"/>
          <w:sz w:val="28"/>
          <w:szCs w:val="28"/>
        </w:rPr>
        <w:t>改善、</w:t>
      </w:r>
      <w:r>
        <w:rPr>
          <w:rFonts w:hint="eastAsia" w:ascii="仿宋" w:hAnsi="仿宋" w:eastAsia="仿宋" w:cs="仿宋_GB2312"/>
          <w:color w:val="000000"/>
          <w:kern w:val="0"/>
          <w:sz w:val="28"/>
          <w:szCs w:val="28"/>
          <w:lang w:val="zh-CN"/>
        </w:rPr>
        <w:t>无法进行利润分配等情形。</w:t>
      </w:r>
      <w:r>
        <w:rPr>
          <w:rFonts w:ascii="仿宋" w:hAnsi="仿宋" w:eastAsia="仿宋" w:cs="仿宋_GB2312"/>
          <w:color w:val="000000"/>
          <w:kern w:val="0"/>
          <w:sz w:val="28"/>
          <w:szCs w:val="28"/>
        </w:rPr>
        <w:t>投资者应当充分关注并理性看待相关风险，审慎作出投资决策</w:t>
      </w:r>
      <w:r>
        <w:rPr>
          <w:rFonts w:hint="eastAsia" w:ascii="仿宋" w:hAnsi="仿宋" w:eastAsia="仿宋" w:cs="仿宋_GB2312"/>
          <w:color w:val="000000"/>
          <w:kern w:val="0"/>
          <w:sz w:val="28"/>
          <w:szCs w:val="28"/>
          <w:lang w:eastAsia="zh-CN"/>
        </w:rPr>
        <w:t>。</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4</w:t>
      </w:r>
      <w:r>
        <w:rPr>
          <w:rFonts w:hint="eastAsia" w:ascii="仿宋" w:hAnsi="仿宋" w:eastAsia="仿宋" w:cs="仿宋_GB2312"/>
          <w:color w:val="000000"/>
          <w:kern w:val="0"/>
          <w:sz w:val="28"/>
          <w:szCs w:val="28"/>
          <w:lang w:val="zh-CN"/>
        </w:rPr>
        <w:t>、创业板新股发行价格、规模、节奏等坚持市场化导向，可能采用直接定价和询价定价方式。采用询价定价方式的，询价对象限定在证券公司等专业机构投资者，而个人投资者无法直接参与发行定价。同时，部分创业板公司发行定价可能不适用传统估值方法，上市后可能存在股价波动风险。</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5</w:t>
      </w:r>
      <w:r>
        <w:rPr>
          <w:rFonts w:hint="eastAsia" w:ascii="仿宋" w:hAnsi="仿宋" w:eastAsia="仿宋" w:cs="仿宋_GB2312"/>
          <w:color w:val="000000"/>
          <w:kern w:val="0"/>
          <w:sz w:val="28"/>
          <w:szCs w:val="28"/>
          <w:lang w:val="zh-CN"/>
        </w:rPr>
        <w:t>、初步询价结束后，创业板发行人预计发行后总市值不满足其在招股说明书中明确选择的市值与财务指标上市标准的，将按规定中止发行。</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6</w:t>
      </w:r>
      <w:r>
        <w:rPr>
          <w:rFonts w:hint="eastAsia" w:ascii="仿宋" w:hAnsi="仿宋" w:eastAsia="仿宋" w:cs="仿宋_GB2312"/>
          <w:color w:val="000000"/>
          <w:kern w:val="0"/>
          <w:sz w:val="28"/>
          <w:szCs w:val="28"/>
          <w:lang w:val="zh-CN"/>
        </w:rPr>
        <w:t>、根据首次公开发行创业板股票发行后总股本差异、是否为未盈利企业，网上初始发行比例可能有所差别；根据网上投资者有效申购倍数差异，可能存在不同的网下向网上回拨比例。创业板的网上发行比例、网下</w:t>
      </w:r>
      <w:r>
        <w:rPr>
          <w:rFonts w:hint="eastAsia" w:ascii="仿宋" w:hAnsi="仿宋" w:eastAsia="仿宋" w:cs="仿宋_GB2312"/>
          <w:color w:val="000000"/>
          <w:kern w:val="0"/>
          <w:sz w:val="28"/>
          <w:szCs w:val="28"/>
        </w:rPr>
        <w:t>向</w:t>
      </w:r>
      <w:r>
        <w:rPr>
          <w:rFonts w:hint="eastAsia" w:ascii="仿宋" w:hAnsi="仿宋" w:eastAsia="仿宋" w:cs="仿宋_GB2312"/>
          <w:color w:val="000000"/>
          <w:kern w:val="0"/>
          <w:sz w:val="28"/>
          <w:szCs w:val="28"/>
          <w:lang w:val="zh-CN"/>
        </w:rPr>
        <w:t>网上回拨</w:t>
      </w:r>
      <w:r>
        <w:rPr>
          <w:rFonts w:hint="eastAsia" w:ascii="仿宋" w:hAnsi="仿宋" w:eastAsia="仿宋" w:cs="仿宋_GB2312"/>
          <w:color w:val="000000"/>
          <w:kern w:val="0"/>
          <w:sz w:val="28"/>
          <w:szCs w:val="28"/>
        </w:rPr>
        <w:t>比例</w:t>
      </w:r>
      <w:r>
        <w:rPr>
          <w:rFonts w:hint="eastAsia" w:ascii="仿宋" w:hAnsi="仿宋" w:eastAsia="仿宋" w:cs="仿宋_GB2312"/>
          <w:color w:val="000000"/>
          <w:kern w:val="0"/>
          <w:sz w:val="28"/>
          <w:szCs w:val="28"/>
          <w:lang w:val="zh-CN"/>
        </w:rPr>
        <w:t>与深交所主板股票存在差异，投资者应当关注。</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7</w:t>
      </w:r>
      <w:r>
        <w:rPr>
          <w:rFonts w:hint="eastAsia" w:ascii="仿宋" w:hAnsi="仿宋" w:eastAsia="仿宋" w:cs="仿宋_GB2312"/>
          <w:color w:val="000000"/>
          <w:kern w:val="0"/>
          <w:sz w:val="28"/>
          <w:szCs w:val="28"/>
          <w:lang w:val="zh-CN"/>
        </w:rPr>
        <w:t>、首次公开发行股票时，发行人和主承销商可以采用超额配售选择权，即存在发行人增发股票的可能性。</w:t>
      </w:r>
    </w:p>
    <w:p>
      <w:pPr>
        <w:widowControl/>
        <w:ind w:firstLine="560" w:firstLineChars="20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8、上市时未盈利的创业板公司，在实现盈利前按照规定应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投资者应当及时关注公司披露的年度报告及其他公告，持续了解相关风险。</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9、创业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 15个交易日后予以摘牌。投资者应当及时了解相关信息和规定，密切关注退市风险。</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10</w:t>
      </w:r>
      <w:r>
        <w:rPr>
          <w:rFonts w:hint="eastAsia" w:ascii="仿宋" w:hAnsi="仿宋" w:eastAsia="仿宋" w:cs="仿宋_GB2312"/>
          <w:color w:val="000000"/>
          <w:kern w:val="0"/>
          <w:sz w:val="28"/>
          <w:szCs w:val="28"/>
          <w:lang w:val="zh-CN"/>
        </w:rPr>
        <w:t>、创业板</w:t>
      </w:r>
      <w:r>
        <w:rPr>
          <w:rFonts w:hint="eastAsia" w:ascii="仿宋" w:hAnsi="仿宋" w:eastAsia="仿宋" w:cs="仿宋_GB2312"/>
          <w:color w:val="000000"/>
          <w:kern w:val="0"/>
          <w:sz w:val="28"/>
          <w:szCs w:val="28"/>
        </w:rPr>
        <w:t>允许</w:t>
      </w:r>
      <w:r>
        <w:rPr>
          <w:rFonts w:hint="eastAsia" w:ascii="仿宋" w:hAnsi="仿宋" w:eastAsia="仿宋" w:cs="仿宋_GB2312"/>
          <w:color w:val="000000"/>
          <w:kern w:val="0"/>
          <w:sz w:val="28"/>
          <w:szCs w:val="28"/>
          <w:lang w:val="zh-CN"/>
        </w:rPr>
        <w:t>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11</w:t>
      </w:r>
      <w:r>
        <w:rPr>
          <w:rFonts w:hint="eastAsia" w:ascii="仿宋" w:hAnsi="仿宋" w:eastAsia="仿宋" w:cs="仿宋_GB2312"/>
          <w:color w:val="000000"/>
          <w:kern w:val="0"/>
          <w:sz w:val="28"/>
          <w:szCs w:val="28"/>
          <w:lang w:val="zh-CN"/>
        </w:rPr>
        <w:t>、出现《深圳证券交易所创业板股票上市规则》以及上市公司章程规定的情形时，特别表决权股份将按</w:t>
      </w:r>
      <w:r>
        <w:rPr>
          <w:rFonts w:ascii="仿宋" w:hAnsi="仿宋" w:eastAsia="仿宋" w:cs="仿宋_GB2312"/>
          <w:color w:val="000000"/>
          <w:kern w:val="0"/>
          <w:sz w:val="28"/>
          <w:szCs w:val="28"/>
          <w:lang w:val="zh-CN"/>
        </w:rPr>
        <w:t>1:1</w:t>
      </w:r>
      <w:r>
        <w:rPr>
          <w:rFonts w:hint="eastAsia" w:ascii="仿宋" w:hAnsi="仿宋" w:eastAsia="仿宋" w:cs="仿宋_GB2312"/>
          <w:color w:val="000000"/>
          <w:kern w:val="0"/>
          <w:sz w:val="28"/>
          <w:szCs w:val="28"/>
          <w:lang w:val="zh-CN"/>
        </w:rPr>
        <w:t>的比例转换为普通股份。股份转换自相关情形发生时即生效，并可能与相关股份转换登记时点存在差异。投资者需及时关注上市公司相关公告，以了解特别表决权股份变动事宜。</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12</w:t>
      </w:r>
      <w:r>
        <w:rPr>
          <w:rFonts w:hint="eastAsia" w:ascii="仿宋" w:hAnsi="仿宋" w:eastAsia="仿宋" w:cs="仿宋_GB2312"/>
          <w:color w:val="000000"/>
          <w:kern w:val="0"/>
          <w:sz w:val="28"/>
          <w:szCs w:val="28"/>
          <w:lang w:val="zh-CN"/>
        </w:rPr>
        <w:t>、创业板上市公司的股权激励制度可能更为灵活，包括股权激励计划所涉及的股票比例上限和对象有所扩大、价格条款更为灵活、实施方式更为便利。实施该等股权激励制度安排可能导致公司实际上市交易的股票数量超过首次公开发行时的数量。</w:t>
      </w:r>
    </w:p>
    <w:p>
      <w:pPr>
        <w:widowControl/>
        <w:ind w:firstLine="560" w:firstLineChars="20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13、创业板股票的价格涨跌幅限制比例为20%，但在首次公开发行上市后的前五个交易日、重新上市首日、进入退市整理期的首日以及深交所认定的其他情形下不实行涨跌幅限制，投资者应当关注可能发生的股价波动风险。</w:t>
      </w:r>
    </w:p>
    <w:p>
      <w:pPr>
        <w:widowControl/>
        <w:ind w:firstLine="560" w:firstLineChars="20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14、创业板无价格涨跌幅限制股票竞价交易盘中价格较当 日开盘价格首次上涨或者下跌达到或者超过 30%、60%， 以及出现证监会或者深交所认定的其他情形的，实施盘中临时停牌机制，单次临时停牌时间为10分钟，停牌时间跨越14:57的，于当 日 14:57 复牌并对已接受的申报进行复牌集合竞价，再进行收盘集合竞价。</w:t>
      </w:r>
    </w:p>
    <w:p>
      <w:pPr>
        <w:widowControl/>
        <w:ind w:firstLine="560" w:firstLineChars="20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15、《深圳证券交易所交易规则（2026年修订）》施行后，创业板股票交易可以实行做市商机制，请投资者关注相关事项。</w:t>
      </w:r>
    </w:p>
    <w:p>
      <w:pPr>
        <w:widowControl/>
        <w:ind w:firstLine="560" w:firstLineChars="20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16、投资者</w:t>
      </w:r>
      <w:r>
        <w:rPr>
          <w:rFonts w:hint="eastAsia" w:ascii="仿宋" w:hAnsi="仿宋" w:eastAsia="仿宋" w:cs="仿宋_GB2312"/>
          <w:color w:val="000000"/>
          <w:kern w:val="0"/>
          <w:sz w:val="28"/>
          <w:szCs w:val="28"/>
        </w:rPr>
        <w:t>应当</w:t>
      </w:r>
      <w:r>
        <w:rPr>
          <w:rFonts w:ascii="仿宋" w:hAnsi="仿宋" w:eastAsia="仿宋" w:cs="仿宋_GB2312"/>
          <w:color w:val="000000"/>
          <w:kern w:val="0"/>
          <w:sz w:val="28"/>
          <w:szCs w:val="28"/>
        </w:rPr>
        <w:t>关注</w:t>
      </w:r>
      <w:r>
        <w:rPr>
          <w:rFonts w:hint="eastAsia" w:ascii="仿宋" w:hAnsi="仿宋" w:eastAsia="仿宋" w:cs="仿宋_GB2312"/>
          <w:color w:val="000000"/>
          <w:kern w:val="0"/>
          <w:sz w:val="28"/>
          <w:szCs w:val="28"/>
        </w:rPr>
        <w:t>不同板块</w:t>
      </w:r>
      <w:r>
        <w:rPr>
          <w:rFonts w:ascii="仿宋" w:hAnsi="仿宋" w:eastAsia="仿宋" w:cs="仿宋_GB2312"/>
          <w:color w:val="000000"/>
          <w:kern w:val="0"/>
          <w:sz w:val="28"/>
          <w:szCs w:val="28"/>
        </w:rPr>
        <w:t>单笔申报</w:t>
      </w:r>
      <w:r>
        <w:rPr>
          <w:rFonts w:hint="eastAsia" w:ascii="仿宋" w:hAnsi="仿宋" w:eastAsia="仿宋" w:cs="仿宋_GB2312"/>
          <w:color w:val="000000"/>
          <w:kern w:val="0"/>
          <w:sz w:val="28"/>
          <w:szCs w:val="28"/>
        </w:rPr>
        <w:t>数量上限差异，</w:t>
      </w:r>
      <w:r>
        <w:rPr>
          <w:rFonts w:ascii="仿宋" w:hAnsi="仿宋" w:eastAsia="仿宋" w:cs="仿宋_GB2312"/>
          <w:color w:val="000000"/>
          <w:kern w:val="0"/>
          <w:sz w:val="28"/>
          <w:szCs w:val="28"/>
        </w:rPr>
        <w:t>同时应当关注股票集合竞价阶段及连续竞价阶段有效申报价格范围的相关要求，以免影响申报。投资者应当关注，申报时超过涨跌幅限制价格或者有效申报价格范围的申报为无效申报。</w:t>
      </w:r>
    </w:p>
    <w:p>
      <w:pPr>
        <w:ind w:firstLine="560"/>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7</w:t>
      </w:r>
      <w:r>
        <w:rPr>
          <w:rFonts w:ascii="仿宋" w:hAnsi="仿宋" w:eastAsia="仿宋" w:cs="仿宋_GB2312"/>
          <w:color w:val="000000"/>
          <w:kern w:val="0"/>
          <w:sz w:val="28"/>
          <w:szCs w:val="28"/>
        </w:rPr>
        <w:t>、投资者需关注创业板交易方式包括竞价交易、盘后</w:t>
      </w:r>
      <w:r>
        <w:rPr>
          <w:rFonts w:hint="eastAsia" w:ascii="仿宋" w:hAnsi="仿宋" w:eastAsia="仿宋" w:cs="仿宋_GB2312"/>
          <w:color w:val="000000"/>
          <w:kern w:val="0"/>
          <w:sz w:val="28"/>
          <w:szCs w:val="28"/>
        </w:rPr>
        <w:t>固定价格</w:t>
      </w:r>
      <w:r>
        <w:rPr>
          <w:rFonts w:ascii="仿宋" w:hAnsi="仿宋" w:eastAsia="仿宋" w:cs="仿宋_GB2312"/>
          <w:color w:val="000000"/>
          <w:kern w:val="0"/>
          <w:sz w:val="28"/>
          <w:szCs w:val="28"/>
        </w:rPr>
        <w:t>交易及大宗交易，不同交易方式的交易时间、申报要求、成交原则等存在差异。</w:t>
      </w:r>
      <w:r>
        <w:rPr>
          <w:rFonts w:hint="eastAsia" w:ascii="仿宋" w:hAnsi="仿宋" w:eastAsia="仿宋" w:cs="仿宋_GB2312"/>
          <w:color w:val="000000"/>
          <w:kern w:val="0"/>
          <w:sz w:val="28"/>
          <w:szCs w:val="28"/>
          <w:lang w:val="zh-CN"/>
        </w:rPr>
        <w:t>《深圳证券交易所交易规则（2026年修订）》施行后，创业板股票协议大宗交易的成交确认时间与深交</w:t>
      </w:r>
      <w:r>
        <w:rPr>
          <w:rFonts w:ascii="仿宋" w:hAnsi="仿宋" w:eastAsia="仿宋" w:cs="仿宋_GB2312"/>
          <w:color w:val="000000"/>
          <w:kern w:val="0"/>
          <w:sz w:val="28"/>
          <w:szCs w:val="28"/>
        </w:rPr>
        <w:t>所主板股票存在差异，投资者应当关注。</w:t>
      </w:r>
    </w:p>
    <w:p>
      <w:pPr>
        <w:widowControl/>
        <w:ind w:firstLine="56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18、注册制下首次公开发行的股票，上市首日即可作为融资融券标的，投资者应</w:t>
      </w:r>
      <w:r>
        <w:rPr>
          <w:rFonts w:hint="eastAsia" w:ascii="仿宋" w:hAnsi="仿宋" w:eastAsia="仿宋" w:cs="仿宋_GB2312"/>
          <w:color w:val="000000"/>
          <w:kern w:val="0"/>
          <w:sz w:val="28"/>
          <w:szCs w:val="28"/>
        </w:rPr>
        <w:t>当关注</w:t>
      </w:r>
      <w:r>
        <w:rPr>
          <w:rFonts w:ascii="仿宋" w:hAnsi="仿宋" w:eastAsia="仿宋" w:cs="仿宋_GB2312"/>
          <w:color w:val="000000"/>
          <w:kern w:val="0"/>
          <w:sz w:val="28"/>
          <w:szCs w:val="28"/>
        </w:rPr>
        <w:t>相关风险。</w:t>
      </w:r>
    </w:p>
    <w:p>
      <w:pPr>
        <w:widowControl/>
        <w:ind w:firstLine="560"/>
        <w:jc w:val="left"/>
        <w:rPr>
          <w:rFonts w:hint="eastAsia" w:ascii="仿宋" w:hAnsi="仿宋" w:eastAsia="仿宋" w:cs="仿宋_GB2312"/>
          <w:color w:val="000000"/>
          <w:kern w:val="0"/>
          <w:sz w:val="28"/>
          <w:szCs w:val="28"/>
        </w:rPr>
      </w:pPr>
      <w:r>
        <w:rPr>
          <w:rFonts w:ascii="仿宋" w:hAnsi="仿宋" w:eastAsia="仿宋" w:cs="仿宋_GB2312"/>
          <w:color w:val="000000"/>
          <w:kern w:val="0"/>
          <w:sz w:val="28"/>
          <w:szCs w:val="28"/>
        </w:rPr>
        <w:t>19、创业板股票的交易公开信息披露指标及异常波动情形、严重异常波动情形披露指标与深圳证券交易所其他板块规定不同，投资者应当关注相关的风险。</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20</w:t>
      </w:r>
      <w:r>
        <w:rPr>
          <w:rFonts w:hint="eastAsia" w:ascii="仿宋" w:hAnsi="仿宋" w:eastAsia="仿宋" w:cs="仿宋_GB2312"/>
          <w:color w:val="000000"/>
          <w:kern w:val="0"/>
          <w:sz w:val="28"/>
          <w:szCs w:val="28"/>
          <w:lang w:val="zh-CN"/>
        </w:rPr>
        <w:t>、符合相关规定的红筹企业可以在创业板上市。红筹企业在境外注册，可能采用协议控制架构，在</w:t>
      </w:r>
      <w:r>
        <w:rPr>
          <w:rFonts w:hint="eastAsia" w:ascii="仿宋" w:hAnsi="仿宋" w:eastAsia="仿宋" w:cs="仿宋_GB2312"/>
          <w:color w:val="000000"/>
          <w:kern w:val="0"/>
          <w:sz w:val="28"/>
          <w:szCs w:val="28"/>
        </w:rPr>
        <w:t>上市标准、</w:t>
      </w:r>
      <w:r>
        <w:rPr>
          <w:rFonts w:hint="eastAsia" w:ascii="仿宋" w:hAnsi="仿宋" w:eastAsia="仿宋" w:cs="仿宋_GB2312"/>
          <w:color w:val="000000"/>
          <w:kern w:val="0"/>
          <w:sz w:val="28"/>
          <w:szCs w:val="28"/>
          <w:lang w:val="zh-CN"/>
        </w:rPr>
        <w:t>信息披露、分红派息、</w:t>
      </w:r>
      <w:r>
        <w:rPr>
          <w:rFonts w:hint="eastAsia" w:ascii="仿宋" w:hAnsi="仿宋" w:eastAsia="仿宋" w:cs="仿宋_GB2312"/>
          <w:color w:val="000000"/>
          <w:kern w:val="0"/>
          <w:sz w:val="28"/>
          <w:szCs w:val="28"/>
        </w:rPr>
        <w:t>退市标准</w:t>
      </w:r>
      <w:r>
        <w:rPr>
          <w:rFonts w:hint="eastAsia" w:ascii="仿宋" w:hAnsi="仿宋" w:eastAsia="仿宋" w:cs="仿宋_GB2312"/>
          <w:color w:val="000000"/>
          <w:kern w:val="0"/>
          <w:sz w:val="28"/>
          <w:szCs w:val="28"/>
          <w:lang w:val="zh-CN"/>
        </w:rPr>
        <w:t>等方面可能与境内注册的上市公司存在差异。红筹企业注册地、境外上市地等地法律法规对当地投资者提供的保护</w:t>
      </w:r>
      <w:r>
        <w:rPr>
          <w:rFonts w:ascii="仿宋" w:hAnsi="仿宋" w:eastAsia="仿宋" w:cs="仿宋_GB2312"/>
          <w:color w:val="000000"/>
          <w:kern w:val="0"/>
          <w:sz w:val="28"/>
          <w:szCs w:val="28"/>
          <w:lang w:val="zh-CN"/>
        </w:rPr>
        <w:t>,</w:t>
      </w:r>
      <w:r>
        <w:rPr>
          <w:rFonts w:hint="eastAsia" w:ascii="仿宋" w:hAnsi="仿宋" w:eastAsia="仿宋" w:cs="仿宋_GB2312"/>
          <w:color w:val="000000"/>
          <w:kern w:val="0"/>
          <w:sz w:val="28"/>
          <w:szCs w:val="28"/>
          <w:lang w:val="zh-CN"/>
        </w:rPr>
        <w:t>可能与境内法律为境内投资者提供的保护存在差异。</w:t>
      </w:r>
    </w:p>
    <w:p>
      <w:pPr>
        <w:widowControl/>
        <w:ind w:firstLine="560" w:firstLineChars="200"/>
        <w:jc w:val="left"/>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rPr>
        <w:t>21</w:t>
      </w:r>
      <w:r>
        <w:rPr>
          <w:rFonts w:hint="eastAsia" w:ascii="仿宋" w:hAnsi="仿宋" w:eastAsia="仿宋" w:cs="仿宋_GB2312"/>
          <w:color w:val="000000"/>
          <w:kern w:val="0"/>
          <w:sz w:val="28"/>
          <w:szCs w:val="28"/>
          <w:lang w:val="zh-CN"/>
        </w:rPr>
        <w:t>、红筹企业可以发行股票或存托凭证</w:t>
      </w:r>
      <w:r>
        <w:rPr>
          <w:rFonts w:hint="eastAsia" w:ascii="仿宋" w:hAnsi="仿宋" w:eastAsia="仿宋" w:cs="仿宋_GB2312"/>
          <w:color w:val="000000"/>
          <w:kern w:val="0"/>
          <w:sz w:val="28"/>
          <w:szCs w:val="28"/>
        </w:rPr>
        <w:t>并在创业板上市</w:t>
      </w:r>
      <w:r>
        <w:rPr>
          <w:rFonts w:hint="eastAsia" w:ascii="仿宋" w:hAnsi="仿宋" w:eastAsia="仿宋" w:cs="仿宋_GB2312"/>
          <w:color w:val="000000"/>
          <w:kern w:val="0"/>
          <w:sz w:val="28"/>
          <w:szCs w:val="28"/>
          <w:lang w:val="zh-CN"/>
        </w:rPr>
        <w:t>。存托凭证由存托人签发、以境外证券为基础在中国境内发行，代表境外基础证券权益。红筹企业存托凭证持有人实际享有的权益与境外基础证券持有人的权益虽然基本相当</w:t>
      </w:r>
      <w:r>
        <w:rPr>
          <w:rFonts w:ascii="仿宋" w:hAnsi="仿宋" w:eastAsia="仿宋" w:cs="仿宋_GB2312"/>
          <w:color w:val="000000"/>
          <w:kern w:val="0"/>
          <w:sz w:val="28"/>
          <w:szCs w:val="28"/>
          <w:lang w:val="zh-CN"/>
        </w:rPr>
        <w:t>,</w:t>
      </w:r>
      <w:r>
        <w:rPr>
          <w:rFonts w:hint="eastAsia" w:ascii="仿宋" w:hAnsi="仿宋" w:eastAsia="仿宋" w:cs="仿宋_GB2312"/>
          <w:color w:val="000000"/>
          <w:kern w:val="0"/>
          <w:sz w:val="28"/>
          <w:szCs w:val="28"/>
          <w:lang w:val="zh-CN"/>
        </w:rPr>
        <w:t>但并不能等同于直接持有境外基础证券。投资者应当充分知悉存托协议和相关规则的具体内容，了解并接受在交易和持有红筹企业股票或</w:t>
      </w:r>
      <w:r>
        <w:rPr>
          <w:rFonts w:hint="eastAsia" w:ascii="仿宋" w:hAnsi="仿宋" w:eastAsia="仿宋" w:cs="仿宋_GB2312"/>
          <w:color w:val="000000"/>
          <w:kern w:val="0"/>
          <w:sz w:val="28"/>
          <w:szCs w:val="28"/>
        </w:rPr>
        <w:t>者</w:t>
      </w:r>
      <w:r>
        <w:rPr>
          <w:rFonts w:hint="eastAsia" w:ascii="仿宋" w:hAnsi="仿宋" w:eastAsia="仿宋" w:cs="仿宋_GB2312"/>
          <w:color w:val="000000"/>
          <w:kern w:val="0"/>
          <w:sz w:val="28"/>
          <w:szCs w:val="28"/>
          <w:lang w:val="zh-CN"/>
        </w:rPr>
        <w:t>存托凭证过程中可能存在的风险。</w:t>
      </w:r>
    </w:p>
    <w:p>
      <w:pPr>
        <w:pStyle w:val="7"/>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rPr>
        <w:t>22</w:t>
      </w:r>
      <w:r>
        <w:rPr>
          <w:rFonts w:hint="eastAsia" w:ascii="仿宋" w:hAnsi="仿宋" w:eastAsia="仿宋" w:cs="仿宋_GB2312"/>
          <w:sz w:val="28"/>
          <w:szCs w:val="28"/>
          <w:lang w:val="zh-CN"/>
        </w:rPr>
        <w:t>、创业板</w:t>
      </w:r>
      <w:r>
        <w:rPr>
          <w:rFonts w:hint="eastAsia" w:ascii="仿宋" w:hAnsi="仿宋" w:eastAsia="仿宋" w:cs="仿宋_GB2312"/>
          <w:sz w:val="28"/>
          <w:szCs w:val="28"/>
        </w:rPr>
        <w:t>适用的</w:t>
      </w:r>
      <w:r>
        <w:rPr>
          <w:rFonts w:hint="eastAsia" w:ascii="仿宋" w:hAnsi="仿宋" w:eastAsia="仿宋" w:cs="仿宋_GB2312"/>
          <w:sz w:val="28"/>
          <w:szCs w:val="28"/>
          <w:lang w:val="zh-CN"/>
        </w:rPr>
        <w:t>相关法律、行政法规、部门规章、规范性文件（以下</w:t>
      </w:r>
      <w:r>
        <w:rPr>
          <w:rFonts w:hint="eastAsia" w:ascii="仿宋" w:hAnsi="仿宋" w:eastAsia="仿宋" w:cs="仿宋_GB2312"/>
          <w:sz w:val="28"/>
          <w:szCs w:val="28"/>
        </w:rPr>
        <w:t>统称</w:t>
      </w:r>
      <w:r>
        <w:rPr>
          <w:rFonts w:hint="eastAsia" w:ascii="仿宋" w:hAnsi="仿宋" w:eastAsia="仿宋" w:cs="仿宋_GB2312"/>
          <w:sz w:val="28"/>
          <w:szCs w:val="28"/>
          <w:lang w:val="zh-CN"/>
        </w:rPr>
        <w:t>法律法规）和</w:t>
      </w:r>
      <w:r>
        <w:rPr>
          <w:rFonts w:hint="eastAsia" w:ascii="仿宋" w:hAnsi="仿宋" w:eastAsia="仿宋" w:cs="仿宋_GB2312"/>
          <w:sz w:val="28"/>
          <w:szCs w:val="28"/>
        </w:rPr>
        <w:t>深交所相关</w:t>
      </w:r>
      <w:r>
        <w:rPr>
          <w:rFonts w:hint="eastAsia" w:ascii="仿宋" w:hAnsi="仿宋" w:eastAsia="仿宋" w:cs="仿宋_GB2312"/>
          <w:sz w:val="28"/>
          <w:szCs w:val="28"/>
          <w:lang w:val="zh-CN"/>
        </w:rPr>
        <w:t>业务规则，可能根据市场情况进行修改，或者制定新的法律法规和业务规则，投资者应当及时关注和了解。</w:t>
      </w:r>
    </w:p>
    <w:p>
      <w:pPr>
        <w:spacing w:line="560" w:lineRule="exact"/>
        <w:ind w:firstLine="560" w:firstLineChars="200"/>
        <w:rPr>
          <w:rFonts w:hint="eastAsia" w:ascii="仿宋" w:hAnsi="仿宋" w:eastAsia="仿宋"/>
          <w:sz w:val="28"/>
          <w:szCs w:val="28"/>
        </w:rPr>
      </w:pPr>
    </w:p>
    <w:p>
      <w:pPr>
        <w:autoSpaceDE w:val="0"/>
        <w:autoSpaceDN w:val="0"/>
        <w:adjustRightInd w:val="0"/>
        <w:snapToGrid w:val="0"/>
        <w:spacing w:line="560" w:lineRule="exact"/>
        <w:ind w:firstLine="601"/>
        <w:rPr>
          <w:rFonts w:hint="eastAsia" w:ascii="仿宋" w:hAnsi="仿宋" w:eastAsia="仿宋" w:cs="Arial"/>
          <w:b/>
          <w:kern w:val="0"/>
          <w:sz w:val="28"/>
          <w:szCs w:val="28"/>
        </w:rPr>
      </w:pPr>
      <w:r>
        <w:rPr>
          <w:rFonts w:hint="eastAsia" w:ascii="仿宋" w:hAnsi="仿宋" w:eastAsia="仿宋" w:cs="仿宋_GB2312"/>
          <w:b/>
          <w:color w:val="000000"/>
          <w:kern w:val="0"/>
          <w:sz w:val="28"/>
          <w:szCs w:val="28"/>
          <w:lang w:val="zh-CN"/>
        </w:rPr>
        <w:t>本告知书的告知事项仅为列举性质，未能详尽列明投资者在信用证券账户内参与创业板股票交易的所有风险，且未来有关法律法规和业务规则修订时可能不会要求投资者重新签署《风险揭示书》，您在参与交易前，应当认真阅读有关法律法规、交易所业务规则等相关规定、《中银国际证券股份有限公司创业板投资风险揭示书》以及本《告知书》，对其他可能存在的变化及风险因素也应当有所了解和掌握，并确信自己已做好足够的风险评估与财务安排，避免因信用证券账户参与创业板股票交易遭受难以承受的损失。您还应积极配合本公司履行适当性义务，了解适当性匹配意见不表明其对创业板融资融券业务及服务的风险和收益作出实质性判断或保证，本公司履行投资者适当性职责不能取代您本人的投资判断，不会降低创业板融资融券业务及服务的固有风险，也不会影响您依法承担相应的投资风险、履约责任以及费用，您不得以适当性不匹配为理由拒绝履行合同义务或主张平仓无效。您应</w:t>
      </w:r>
      <w:r>
        <w:rPr>
          <w:rFonts w:hint="eastAsia" w:ascii="仿宋" w:hAnsi="仿宋" w:eastAsia="仿宋" w:cs="Arial"/>
          <w:b/>
          <w:kern w:val="0"/>
          <w:sz w:val="28"/>
          <w:szCs w:val="28"/>
        </w:rPr>
        <w:t>客观判断自身风险承受能力与证券交易涉及的各类金融产品的风险是否相匹配，审慎进行投资。您还应当遵循买者自负原则，不得以不符合投资者适当性条件为由拒绝承担创业板融资融券交易及交收责任。您通过书面或电子方式签署</w:t>
      </w:r>
      <w:r>
        <w:rPr>
          <w:rFonts w:hint="eastAsia" w:ascii="仿宋" w:hAnsi="仿宋" w:eastAsia="仿宋" w:cs="仿宋_GB2312"/>
          <w:b/>
          <w:color w:val="000000"/>
          <w:kern w:val="0"/>
          <w:sz w:val="28"/>
          <w:szCs w:val="28"/>
          <w:lang w:val="zh-CN"/>
        </w:rPr>
        <w:t>《中银国际证券股份有限公司创业板投资风险揭示书》及</w:t>
      </w:r>
      <w:r>
        <w:rPr>
          <w:rFonts w:hint="eastAsia" w:ascii="仿宋" w:hAnsi="仿宋" w:eastAsia="仿宋" w:cs="Arial"/>
          <w:b/>
          <w:kern w:val="0"/>
          <w:sz w:val="28"/>
          <w:szCs w:val="28"/>
        </w:rPr>
        <w:t>本《告知书》，即表明投资者已经理解并愿意自行承担参与创业板融资融券交易的风险和损失。</w:t>
      </w:r>
    </w:p>
    <w:p>
      <w:pPr>
        <w:ind w:firstLine="560" w:firstLineChars="200"/>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本人承诺：已充分了解在信用证券账户内进行创业板股票交易业务规则及全部风险，知晓在信用证券账户内开展创业板股票交易，尤其是进行融资买入或融券卖出交易将可能面临更大的风险。</w:t>
      </w:r>
    </w:p>
    <w:p>
      <w:pPr>
        <w:ind w:firstLine="560" w:firstLineChars="200"/>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本人承诺：在本《中银国际证券股份有限公司创业板投资风险揭示书》及本《告知书》上签字，即表明本人已经完全理解并愿意自行承担在本人信用证券账户内参与创业板股票交易的全部风险和损失。</w:t>
      </w:r>
    </w:p>
    <w:p>
      <w:pPr>
        <w:ind w:firstLine="560" w:firstLineChars="200"/>
        <w:rPr>
          <w:rFonts w:hint="eastAsia"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本人承诺：本人不存在证券交易违法违规行为，无证监会失信平台登记的不良诚信记录；本人无证券经营机构的失信记录；本人不存在以下来源不良诚信记录，包括但不限于中国人民银行征信中心、最高人民法院失信被执行人名单、工商行政管理机构、税务管理机构、监管机构、自律组织等机构；本人自愿承担因诚信状况失实而造成的全部风险和损失。</w:t>
      </w:r>
    </w:p>
    <w:p>
      <w:pPr>
        <w:autoSpaceDE w:val="0"/>
        <w:autoSpaceDN w:val="0"/>
        <w:adjustRightInd w:val="0"/>
        <w:snapToGrid w:val="0"/>
        <w:rPr>
          <w:rFonts w:hint="eastAsia" w:ascii="仿宋" w:hAnsi="仿宋" w:eastAsia="仿宋" w:cs="Arial"/>
          <w:b/>
          <w:kern w:val="0"/>
          <w:sz w:val="28"/>
          <w:szCs w:val="28"/>
        </w:rPr>
      </w:pPr>
    </w:p>
    <w:p>
      <w:pPr>
        <w:autoSpaceDE w:val="0"/>
        <w:autoSpaceDN w:val="0"/>
        <w:adjustRightInd w:val="0"/>
        <w:jc w:val="left"/>
        <w:rPr>
          <w:rFonts w:hint="eastAsia" w:ascii="仿宋" w:hAnsi="仿宋" w:eastAsia="仿宋" w:cs="仿宋_GB2312"/>
          <w:color w:val="000000"/>
          <w:kern w:val="0"/>
          <w:sz w:val="28"/>
          <w:szCs w:val="28"/>
        </w:rPr>
      </w:pPr>
    </w:p>
    <w:p>
      <w:pPr>
        <w:autoSpaceDE w:val="0"/>
        <w:autoSpaceDN w:val="0"/>
        <w:adjustRightInd w:val="0"/>
        <w:jc w:val="left"/>
        <w:rPr>
          <w:rFonts w:hint="eastAsia" w:ascii="仿宋" w:hAnsi="仿宋" w:eastAsia="仿宋" w:cs="仿宋_GB2312"/>
          <w:color w:val="000000"/>
          <w:kern w:val="0"/>
          <w:sz w:val="28"/>
          <w:szCs w:val="28"/>
        </w:rPr>
      </w:pPr>
    </w:p>
    <w:p>
      <w:pPr>
        <w:autoSpaceDE w:val="0"/>
        <w:autoSpaceDN w:val="0"/>
        <w:adjustRightInd w:val="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请自愿选择并确认：</w:t>
      </w:r>
    </w:p>
    <w:p>
      <w:pPr>
        <w:autoSpaceDE w:val="0"/>
        <w:autoSpaceDN w:val="0"/>
        <w:adjustRightInd w:val="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□本人（本机构）选择参与创业板融资融券交易</w:t>
      </w:r>
    </w:p>
    <w:p>
      <w:pPr>
        <w:autoSpaceDE w:val="0"/>
        <w:autoSpaceDN w:val="0"/>
        <w:adjustRightInd w:val="0"/>
        <w:jc w:val="left"/>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□本人（本机构）不再参与创业板融资融券交易，中银证券可以依据本选择限制本信用账户创业板融资买入权限和创业板融券卖出权限</w:t>
      </w:r>
    </w:p>
    <w:p>
      <w:pPr>
        <w:spacing w:line="560" w:lineRule="exact"/>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客户号：</w:t>
      </w:r>
    </w:p>
    <w:p>
      <w:pPr>
        <w:tabs>
          <w:tab w:val="left" w:pos="540"/>
          <w:tab w:val="left" w:pos="720"/>
        </w:tabs>
        <w:rPr>
          <w:rFonts w:hint="eastAsia" w:ascii="仿宋" w:hAnsi="仿宋" w:eastAsia="仿宋"/>
          <w:bCs/>
          <w:sz w:val="28"/>
          <w:szCs w:val="28"/>
        </w:rPr>
      </w:pPr>
      <w:r>
        <w:rPr>
          <w:rFonts w:hint="eastAsia" w:ascii="仿宋" w:hAnsi="仿宋" w:eastAsia="仿宋"/>
          <w:sz w:val="28"/>
          <w:szCs w:val="28"/>
          <w:lang w:eastAsia="zh-CN"/>
        </w:rPr>
        <w:t>（</w:t>
      </w:r>
      <w:r>
        <w:rPr>
          <w:rFonts w:hint="eastAsia" w:ascii="仿宋" w:hAnsi="仿宋" w:eastAsia="仿宋"/>
          <w:sz w:val="28"/>
          <w:szCs w:val="28"/>
        </w:rPr>
        <w:t>深市信用证券账号:</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w:t>
      </w:r>
    </w:p>
    <w:p>
      <w:pPr>
        <w:tabs>
          <w:tab w:val="left" w:pos="540"/>
          <w:tab w:val="left" w:pos="720"/>
        </w:tabs>
        <w:rPr>
          <w:rFonts w:hint="eastAsia" w:ascii="仿宋" w:hAnsi="仿宋" w:eastAsia="仿宋"/>
          <w:bCs/>
          <w:sz w:val="28"/>
          <w:szCs w:val="28"/>
        </w:rPr>
      </w:pPr>
      <w:r>
        <w:rPr>
          <w:rFonts w:hint="eastAsia" w:ascii="仿宋" w:hAnsi="仿宋" w:eastAsia="仿宋"/>
          <w:bCs/>
          <w:sz w:val="28"/>
          <w:szCs w:val="28"/>
        </w:rPr>
        <w:t xml:space="preserve">个人投资者（签字）： </w:t>
      </w:r>
    </w:p>
    <w:p>
      <w:pPr>
        <w:tabs>
          <w:tab w:val="left" w:pos="540"/>
          <w:tab w:val="left" w:pos="720"/>
        </w:tabs>
        <w:rPr>
          <w:rFonts w:hint="eastAsia" w:ascii="仿宋" w:hAnsi="仿宋" w:eastAsia="仿宋" w:cstheme="minorBidi"/>
          <w:sz w:val="28"/>
          <w:szCs w:val="28"/>
        </w:rPr>
      </w:pPr>
      <w:r>
        <w:rPr>
          <w:rFonts w:hint="eastAsia" w:ascii="仿宋" w:hAnsi="仿宋" w:eastAsia="仿宋" w:cstheme="minorBidi"/>
          <w:sz w:val="28"/>
          <w:szCs w:val="28"/>
        </w:rPr>
        <w:t>机构投资者加盖公章和授权经办人签字：</w:t>
      </w:r>
    </w:p>
    <w:p>
      <w:pPr>
        <w:tabs>
          <w:tab w:val="left" w:pos="540"/>
          <w:tab w:val="left" w:pos="720"/>
        </w:tabs>
        <w:rPr>
          <w:rFonts w:hint="eastAsia" w:ascii="仿宋" w:hAnsi="仿宋" w:eastAsia="仿宋" w:cstheme="minorBidi"/>
          <w:sz w:val="28"/>
          <w:szCs w:val="28"/>
        </w:rPr>
      </w:pPr>
      <w:r>
        <w:rPr>
          <w:rFonts w:hint="eastAsia" w:ascii="仿宋" w:hAnsi="仿宋" w:eastAsia="仿宋" w:cstheme="minorBidi"/>
          <w:sz w:val="28"/>
          <w:szCs w:val="28"/>
        </w:rPr>
        <w:t>私募基金产品管理人（盖章）</w:t>
      </w:r>
    </w:p>
    <w:p>
      <w:pPr>
        <w:tabs>
          <w:tab w:val="left" w:pos="540"/>
          <w:tab w:val="left" w:pos="720"/>
        </w:tabs>
        <w:rPr>
          <w:rFonts w:hint="eastAsia" w:ascii="仿宋" w:hAnsi="仿宋" w:eastAsia="仿宋" w:cstheme="minorBidi"/>
          <w:sz w:val="28"/>
          <w:szCs w:val="28"/>
        </w:rPr>
      </w:pPr>
      <w:r>
        <w:rPr>
          <w:rFonts w:hint="eastAsia" w:ascii="仿宋" w:hAnsi="仿宋" w:eastAsia="仿宋" w:cstheme="minorBidi"/>
          <w:sz w:val="28"/>
          <w:szCs w:val="28"/>
        </w:rPr>
        <w:t>私募基金产品管理人法定代表人/执行事务合伙人（签章）</w:t>
      </w:r>
    </w:p>
    <w:p>
      <w:pPr>
        <w:widowControl/>
        <w:tabs>
          <w:tab w:val="left" w:pos="540"/>
          <w:tab w:val="left" w:pos="720"/>
        </w:tabs>
        <w:rPr>
          <w:rFonts w:hint="eastAsia" w:ascii="仿宋" w:hAnsi="仿宋" w:eastAsia="仿宋"/>
          <w:bCs w:val="0"/>
          <w:sz w:val="28"/>
          <w:szCs w:val="28"/>
        </w:rPr>
      </w:pPr>
      <w:r>
        <w:rPr>
          <w:rFonts w:hint="eastAsia" w:ascii="仿宋" w:hAnsi="仿宋" w:eastAsia="仿宋" w:cstheme="minorBidi"/>
          <w:sz w:val="28"/>
          <w:szCs w:val="28"/>
        </w:rPr>
        <w:t>私募基金产品管理人授权代表（签字）</w:t>
      </w:r>
      <w:r>
        <w:rPr>
          <w:rFonts w:hint="eastAsia" w:ascii="仿宋" w:hAnsi="仿宋" w:eastAsia="仿宋"/>
          <w:bCs w:val="0"/>
          <w:sz w:val="28"/>
          <w:szCs w:val="28"/>
        </w:rPr>
        <w:t xml:space="preserve"> </w:t>
      </w:r>
    </w:p>
    <w:p>
      <w:pPr>
        <w:tabs>
          <w:tab w:val="left" w:pos="540"/>
          <w:tab w:val="left" w:pos="720"/>
        </w:tabs>
        <w:rPr>
          <w:rFonts w:hint="eastAsia" w:ascii="仿宋" w:hAnsi="仿宋" w:eastAsia="仿宋"/>
          <w:bCs/>
          <w:sz w:val="28"/>
          <w:szCs w:val="28"/>
        </w:rPr>
      </w:pPr>
      <w:r>
        <w:rPr>
          <w:rFonts w:hint="eastAsia" w:ascii="仿宋" w:hAnsi="仿宋" w:eastAsia="仿宋"/>
          <w:bCs/>
          <w:sz w:val="28"/>
          <w:szCs w:val="28"/>
          <w:lang w:val="en-US" w:eastAsia="zh-CN"/>
        </w:rPr>
        <w:t>证券公司</w:t>
      </w:r>
      <w:r>
        <w:rPr>
          <w:rFonts w:hint="eastAsia" w:ascii="仿宋" w:hAnsi="仿宋" w:eastAsia="仿宋"/>
          <w:bCs/>
          <w:sz w:val="28"/>
          <w:szCs w:val="28"/>
        </w:rPr>
        <w:t xml:space="preserve">经办人： </w:t>
      </w:r>
      <w:r>
        <w:rPr>
          <w:rFonts w:ascii="仿宋" w:hAnsi="仿宋" w:eastAsia="仿宋"/>
          <w:bCs/>
          <w:sz w:val="28"/>
          <w:szCs w:val="28"/>
        </w:rPr>
        <w:t xml:space="preserve">               </w:t>
      </w:r>
      <w:r>
        <w:rPr>
          <w:rFonts w:hint="eastAsia" w:ascii="仿宋" w:hAnsi="仿宋" w:eastAsia="仿宋"/>
          <w:bCs/>
          <w:sz w:val="28"/>
          <w:szCs w:val="28"/>
        </w:rPr>
        <w:t>复核人：</w:t>
      </w:r>
    </w:p>
    <w:p>
      <w:r>
        <w:rPr>
          <w:rFonts w:hint="eastAsia" w:ascii="仿宋" w:hAnsi="仿宋" w:eastAsia="仿宋"/>
          <w:bCs/>
          <w:sz w:val="28"/>
          <w:szCs w:val="28"/>
          <w:lang w:val="en-US" w:eastAsia="zh-CN"/>
        </w:rPr>
        <w:t>签署</w:t>
      </w:r>
      <w:r>
        <w:rPr>
          <w:rFonts w:hint="eastAsia" w:ascii="仿宋" w:hAnsi="仿宋" w:eastAsia="仿宋"/>
          <w:bCs/>
          <w:sz w:val="28"/>
          <w:szCs w:val="28"/>
        </w:rPr>
        <w:t xml:space="preserve">日期：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365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B5364"/>
    <w:rsid w:val="00312683"/>
    <w:rsid w:val="004C039D"/>
    <w:rsid w:val="005C18C8"/>
    <w:rsid w:val="00744CBC"/>
    <w:rsid w:val="00AB7EE7"/>
    <w:rsid w:val="00AE46DA"/>
    <w:rsid w:val="00B010D7"/>
    <w:rsid w:val="00B530FC"/>
    <w:rsid w:val="00C6700A"/>
    <w:rsid w:val="00E41756"/>
    <w:rsid w:val="00EA3ED3"/>
    <w:rsid w:val="00F305B7"/>
    <w:rsid w:val="08775DBC"/>
    <w:rsid w:val="0B031542"/>
    <w:rsid w:val="28B67F4B"/>
    <w:rsid w:val="3ACB5364"/>
    <w:rsid w:val="41537C25"/>
    <w:rsid w:val="473556E2"/>
    <w:rsid w:val="5FA2408F"/>
    <w:rsid w:val="69004F74"/>
    <w:rsid w:val="7582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835</Words>
  <Characters>4761</Characters>
  <Lines>39</Lines>
  <Paragraphs>11</Paragraphs>
  <TotalTime>0</TotalTime>
  <ScaleCrop>false</ScaleCrop>
  <LinksUpToDate>false</LinksUpToDate>
  <CharactersWithSpaces>5585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2026-04-24T14:13:00Z</dcterms:created>
  <dc:creator>caoling</dc:creator>
  <cp:lastModifiedBy>zhaoxiaoqin</cp:lastModifiedBy>
  <dcterms:modified xsi:type="dcterms:W3CDTF">2026-04-25T07:11:57Z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5B26879775704155BE266AF9B6B9153E</vt:lpwstr>
  </property>
</Properties>
</file>