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cs="Times New Roman"/>
          <w:b/>
          <w:spacing w:val="-20"/>
          <w:sz w:val="28"/>
          <w:szCs w:val="28"/>
        </w:rPr>
      </w:pPr>
      <w:r>
        <w:rPr>
          <w:rFonts w:hint="eastAsia" w:ascii="仿宋" w:hAnsi="仿宋" w:eastAsia="仿宋" w:cs="Times New Roman"/>
          <w:b/>
          <w:spacing w:val="-20"/>
          <w:sz w:val="28"/>
          <w:szCs w:val="28"/>
        </w:rPr>
        <w:t>中银国际证券股份有限公司</w:t>
      </w:r>
    </w:p>
    <w:p>
      <w:pPr>
        <w:spacing w:line="560" w:lineRule="exact"/>
        <w:jc w:val="center"/>
        <w:rPr>
          <w:rFonts w:ascii="仿宋" w:hAnsi="仿宋" w:eastAsia="仿宋" w:cs="Times New Roman"/>
          <w:b/>
          <w:spacing w:val="-20"/>
          <w:sz w:val="28"/>
          <w:szCs w:val="28"/>
        </w:rPr>
      </w:pPr>
      <w:r>
        <w:rPr>
          <w:rFonts w:hint="eastAsia" w:ascii="仿宋" w:hAnsi="仿宋" w:eastAsia="仿宋" w:cs="Times New Roman"/>
          <w:b/>
          <w:spacing w:val="-20"/>
          <w:sz w:val="28"/>
          <w:szCs w:val="28"/>
        </w:rPr>
        <w:t>深市风险警示股票交易风险揭示书</w:t>
      </w:r>
    </w:p>
    <w:p>
      <w:pPr>
        <w:pStyle w:val="2"/>
        <w:spacing w:line="600" w:lineRule="exact"/>
        <w:rPr>
          <w:rFonts w:ascii="仿宋" w:hAnsi="仿宋" w:eastAsia="仿宋" w:cs="Arial"/>
          <w:color w:val="000000"/>
          <w:sz w:val="28"/>
          <w:szCs w:val="28"/>
        </w:rPr>
      </w:pPr>
      <w:r>
        <w:rPr>
          <w:rFonts w:ascii="仿宋" w:hAnsi="仿宋" w:eastAsia="仿宋" w:cs="Arial"/>
          <w:color w:val="000000"/>
          <w:sz w:val="28"/>
          <w:szCs w:val="28"/>
        </w:rPr>
        <w:t>尊敬的投资者</w:t>
      </w:r>
      <w:r>
        <w:rPr>
          <w:rFonts w:hint="eastAsia" w:ascii="仿宋" w:hAnsi="仿宋" w:eastAsia="仿宋" w:cs="Arial"/>
          <w:color w:val="000000"/>
          <w:sz w:val="28"/>
          <w:szCs w:val="28"/>
        </w:rPr>
        <w:t>：</w:t>
      </w:r>
    </w:p>
    <w:p>
      <w:pPr>
        <w:pStyle w:val="2"/>
        <w:spacing w:line="600" w:lineRule="exact"/>
        <w:rPr>
          <w:rFonts w:ascii="仿宋" w:hAnsi="仿宋" w:eastAsia="仿宋" w:cs="Arial"/>
          <w:color w:val="000000"/>
          <w:sz w:val="28"/>
          <w:szCs w:val="28"/>
        </w:rPr>
      </w:pPr>
      <w:r>
        <w:rPr>
          <w:rFonts w:hint="eastAsia" w:ascii="仿宋" w:hAnsi="仿宋" w:eastAsia="仿宋" w:cs="Arial"/>
          <w:color w:val="000000"/>
          <w:sz w:val="28"/>
          <w:szCs w:val="28"/>
        </w:rPr>
        <w:t xml:space="preserve">    中银国际证券股份有限公司提醒投资者仔细阅读下面的内容，以便正确、全面地了解深市风险警示股票交易面临的风险：</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一、投资者在参与风险警示股票交易前，应充分了解风险警示制度、风险警示股票交易规定和被实施风险警示上市公司的基本面情况，并根据自身财务状况、实际需求及风险承受能力等，审慎考虑是否买入风险警示股票。</w:t>
      </w:r>
    </w:p>
    <w:p>
      <w:pPr>
        <w:pStyle w:val="2"/>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二、上市公司出现财务状况或者其他状况异常，导致其股票存在终止上市风险，或者投资者难以判断公司前景，其投资权益可能受到损害的，证券交易所可以对该公司股票交易实施风险警示。</w:t>
      </w:r>
    </w:p>
    <w:p>
      <w:pPr>
        <w:pStyle w:val="2"/>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三、上市公司股票交易被实施退市风险警示的，在股票简称前冠以“*ST”字样，被实施其他风险警示的，在股票简称前冠以“ST”字样，以区别于其他股票。公司同时存在退市风险警示和其他风险警示情形的，在股票简称前冠以“*ST”字样。</w:t>
      </w:r>
    </w:p>
    <w:p>
      <w:pPr>
        <w:pStyle w:val="2"/>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退市风险警示股票和其他风险警示股票进入风险警示板交易。</w:t>
      </w:r>
    </w:p>
    <w:p>
      <w:pPr>
        <w:pStyle w:val="2"/>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四、投资者在参与风险警示股票交易前，应充分了解风险警示股票行情揭示可能与其他股票不同。</w:t>
      </w:r>
    </w:p>
    <w:p>
      <w:pPr>
        <w:pStyle w:val="2"/>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五、投资者当日通过竞价交易、大宗交易和盘后</w:t>
      </w:r>
      <w:r>
        <w:rPr>
          <w:rFonts w:hint="eastAsia" w:ascii="仿宋" w:hAnsi="仿宋" w:eastAsia="仿宋" w:cs="Arial"/>
          <w:color w:val="000000"/>
          <w:sz w:val="28"/>
          <w:szCs w:val="28"/>
          <w:lang w:val="en-US" w:eastAsia="zh-CN"/>
        </w:rPr>
        <w:t>固定价格</w:t>
      </w:r>
      <w:bookmarkStart w:id="0" w:name="_GoBack"/>
      <w:bookmarkEnd w:id="0"/>
      <w:r>
        <w:rPr>
          <w:rFonts w:hint="eastAsia" w:ascii="仿宋" w:hAnsi="仿宋" w:eastAsia="仿宋" w:cs="Arial"/>
          <w:color w:val="000000"/>
          <w:sz w:val="28"/>
          <w:szCs w:val="28"/>
        </w:rPr>
        <w:t>交易累计买入的单只风险警示股票，委托买入数量与当日已买入数量及已申报买入但尚未成交、也未撤销的数量之和，不得超过50万股，上市公司回购、5%以上股东根据已披露的增持计划增持股份等情形除外。</w:t>
      </w:r>
    </w:p>
    <w:p>
      <w:pPr>
        <w:pStyle w:val="2"/>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投资者当日累计买入风险警示股票数量，按照该投资者同一证券账户在单个或者多个证券公司的不同证券营业部的买入数量、以本人名义开立的单个或者多个普通证券账户与信用证券账户的买入数量合并计算。</w:t>
      </w:r>
    </w:p>
    <w:p>
      <w:pPr>
        <w:pStyle w:val="2"/>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六、投资者应当特别关注股票被实施风险警示的上市公司发布的提示性公告，及时从上市公司网站、证券交易所网站、符合中国证监会规定条件的信息披露媒体以及证券公司网站等渠道获取相关信息。</w:t>
      </w:r>
    </w:p>
    <w:p>
      <w:pPr>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七、风险警示股票相关法律、行政法规、部门规章、规范性文件（以下简称法律法规）、证券交易所和登记结算机构业务规则可能根据市场情况进行制定、废止和修改，投资者应当及时予以关注和了解。</w:t>
      </w:r>
    </w:p>
    <w:p>
      <w:pPr>
        <w:pStyle w:val="2"/>
        <w:spacing w:line="60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中银国际证券股份有限公司郑重提醒：</w:t>
      </w:r>
    </w:p>
    <w:p>
      <w:pPr>
        <w:pStyle w:val="2"/>
        <w:spacing w:line="560" w:lineRule="exact"/>
        <w:ind w:firstLine="562" w:firstLineChars="200"/>
        <w:rPr>
          <w:rFonts w:ascii="仿宋" w:hAnsi="仿宋" w:eastAsia="仿宋" w:cs="Arial"/>
          <w:b/>
          <w:color w:val="000000"/>
          <w:sz w:val="28"/>
          <w:szCs w:val="28"/>
        </w:rPr>
      </w:pPr>
      <w:r>
        <w:rPr>
          <w:rFonts w:hint="eastAsia" w:ascii="仿宋" w:hAnsi="仿宋" w:eastAsia="仿宋" w:cs="Arial"/>
          <w:b/>
          <w:color w:val="000000"/>
          <w:sz w:val="28"/>
          <w:szCs w:val="28"/>
        </w:rPr>
        <w:t>本《风险揭示书》的提示事项仅为列举性质，未能详尽列明风险警示股票交易的所有风险，投资者在参与交易前，应当认真阅读有关法律法规、证券交易所和登记结算机构业务规则等相关规定，对其他可能存在的风险因素也应当有所了解和掌握，并确信自己已做好足够的风险评估与财务安排，避免因参与风险警示股票交易遭受难以承受的损失。</w:t>
      </w:r>
    </w:p>
    <w:p>
      <w:pPr>
        <w:pStyle w:val="2"/>
        <w:spacing w:line="5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投资者委托买入风险警示股票可通过我司网上交易客户端(含移动客户端)、开户分支机构现场等渠道进行操作。</w:t>
      </w:r>
    </w:p>
    <w:p>
      <w:pPr>
        <w:pStyle w:val="2"/>
        <w:spacing w:line="60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本人/机构确认已知晓并理解《风险揭示书》的全部内容，已理解并愿意自行承担参与风险警示股票交易的风险和损失。</w:t>
      </w:r>
    </w:p>
    <w:p>
      <w:pPr>
        <w:spacing w:line="360" w:lineRule="auto"/>
        <w:rPr>
          <w:rFonts w:ascii="仿宋" w:hAnsi="仿宋" w:eastAsia="仿宋" w:cs="Times New Roman"/>
          <w:sz w:val="28"/>
          <w:szCs w:val="28"/>
        </w:rPr>
      </w:pPr>
    </w:p>
    <w:p>
      <w:pPr>
        <w:spacing w:line="360" w:lineRule="auto"/>
        <w:rPr>
          <w:rFonts w:ascii="仿宋" w:hAnsi="仿宋" w:eastAsia="仿宋" w:cs="Times New Roman"/>
          <w:sz w:val="28"/>
          <w:szCs w:val="28"/>
        </w:rPr>
      </w:pPr>
      <w:r>
        <w:rPr>
          <w:rFonts w:hint="eastAsia" w:ascii="仿宋" w:hAnsi="仿宋" w:eastAsia="仿宋" w:cs="Times New Roman"/>
          <w:sz w:val="28"/>
          <w:szCs w:val="28"/>
        </w:rPr>
        <w:t>客户号 ：</w:t>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softHyphen/>
      </w:r>
      <w:r>
        <w:rPr>
          <w:rFonts w:hint="eastAsia" w:ascii="仿宋" w:hAnsi="仿宋" w:eastAsia="仿宋" w:cs="Times New Roman"/>
          <w:sz w:val="28"/>
          <w:szCs w:val="28"/>
        </w:rPr>
        <w:t>____________</w:t>
      </w:r>
    </w:p>
    <w:p>
      <w:pPr>
        <w:spacing w:line="360" w:lineRule="auto"/>
        <w:ind w:right="560"/>
        <w:rPr>
          <w:rFonts w:ascii="仿宋" w:hAnsi="仿宋" w:eastAsia="仿宋" w:cs="Times New Roman"/>
          <w:sz w:val="28"/>
          <w:szCs w:val="28"/>
        </w:rPr>
      </w:pPr>
      <w:r>
        <w:rPr>
          <w:rFonts w:hint="eastAsia" w:ascii="仿宋" w:hAnsi="仿宋" w:eastAsia="仿宋" w:cs="Times New Roman"/>
          <w:sz w:val="28"/>
          <w:szCs w:val="28"/>
        </w:rPr>
        <w:t>投资者（个人签字/机构盖章）：</w:t>
      </w:r>
    </w:p>
    <w:p>
      <w:pPr>
        <w:spacing w:line="360" w:lineRule="auto"/>
        <w:ind w:right="560"/>
        <w:rPr>
          <w:rFonts w:ascii="仿宋" w:hAnsi="仿宋" w:eastAsia="仿宋" w:cs="Times New Roman"/>
          <w:sz w:val="28"/>
          <w:szCs w:val="28"/>
        </w:rPr>
      </w:pPr>
      <w:r>
        <w:rPr>
          <w:rFonts w:hint="eastAsia" w:ascii="仿宋" w:hAnsi="仿宋" w:eastAsia="仿宋" w:cs="Times New Roman"/>
          <w:sz w:val="28"/>
          <w:szCs w:val="28"/>
        </w:rPr>
        <w:t>机构经办人（签字）：</w:t>
      </w:r>
    </w:p>
    <w:p>
      <w:pPr>
        <w:spacing w:line="360" w:lineRule="auto"/>
        <w:ind w:right="560"/>
        <w:rPr>
          <w:rFonts w:ascii="仿宋" w:hAnsi="仿宋" w:eastAsia="仿宋" w:cs="Times New Roman"/>
          <w:sz w:val="28"/>
          <w:szCs w:val="28"/>
        </w:rPr>
      </w:pPr>
      <w:r>
        <w:rPr>
          <w:rFonts w:hint="eastAsia" w:ascii="仿宋" w:hAnsi="仿宋" w:eastAsia="仿宋" w:cs="Times New Roman"/>
          <w:sz w:val="28"/>
          <w:szCs w:val="28"/>
        </w:rPr>
        <w:t>签署日期：    年     月     日</w:t>
      </w:r>
    </w:p>
    <w:p>
      <w:pPr>
        <w:spacing w:line="360" w:lineRule="auto"/>
        <w:ind w:right="560"/>
        <w:rPr>
          <w:rFonts w:ascii="仿宋" w:hAnsi="仿宋" w:eastAsia="仿宋"/>
          <w:sz w:val="28"/>
          <w:szCs w:val="28"/>
        </w:rPr>
      </w:pPr>
      <w:r>
        <w:rPr>
          <w:rFonts w:hint="eastAsia" w:ascii="仿宋" w:hAnsi="仿宋" w:eastAsia="仿宋"/>
          <w:sz w:val="28"/>
          <w:szCs w:val="28"/>
        </w:rPr>
        <w:t>经办人：</w:t>
      </w:r>
    </w:p>
    <w:p>
      <w:pPr>
        <w:spacing w:line="360" w:lineRule="auto"/>
        <w:ind w:right="560"/>
        <w:rPr>
          <w:rFonts w:ascii="仿宋" w:hAnsi="仿宋" w:eastAsia="仿宋"/>
          <w:sz w:val="28"/>
          <w:szCs w:val="28"/>
        </w:rPr>
      </w:pPr>
      <w:r>
        <w:rPr>
          <w:rFonts w:hint="eastAsia" w:ascii="仿宋" w:hAnsi="仿宋" w:eastAsia="仿宋"/>
          <w:sz w:val="28"/>
          <w:szCs w:val="28"/>
        </w:rPr>
        <w:t>复核人：</w:t>
      </w:r>
    </w:p>
    <w:p>
      <w:pPr>
        <w:spacing w:line="360" w:lineRule="auto"/>
        <w:ind w:right="560"/>
        <w:rPr>
          <w:rFonts w:ascii="仿宋" w:hAnsi="仿宋" w:eastAsia="仿宋" w:cs="Times New Roman"/>
          <w:sz w:val="28"/>
          <w:szCs w:val="28"/>
        </w:rPr>
      </w:pPr>
      <w:r>
        <w:rPr>
          <w:rFonts w:hint="eastAsia" w:ascii="仿宋" w:hAnsi="仿宋" w:eastAsia="仿宋"/>
          <w:sz w:val="28"/>
          <w:szCs w:val="28"/>
        </w:rPr>
        <w:t>（加盖分支机构业务受理章）</w:t>
      </w:r>
    </w:p>
    <w:p>
      <w:pPr>
        <w:spacing w:line="360" w:lineRule="auto"/>
        <w:jc w:val="left"/>
        <w:rPr>
          <w:rFonts w:ascii="仿宋" w:hAnsi="仿宋" w:eastAsia="仿宋"/>
          <w:sz w:val="28"/>
          <w:szCs w:val="28"/>
        </w:rPr>
      </w:pPr>
      <w:r>
        <w:rPr>
          <w:rFonts w:ascii="仿宋" w:hAnsi="仿宋" w:eastAsia="仿宋"/>
          <w:sz w:val="28"/>
          <w:szCs w:val="28"/>
        </w:rPr>
        <w:t>签署日期</w:t>
      </w:r>
      <w:r>
        <w:rPr>
          <w:rFonts w:hint="eastAsia" w:ascii="仿宋" w:hAnsi="仿宋" w:eastAsia="仿宋"/>
          <w:sz w:val="28"/>
          <w:szCs w:val="28"/>
        </w:rPr>
        <w:t>：    年     月    日</w:t>
      </w:r>
    </w:p>
    <w:p>
      <w:pPr>
        <w:pStyle w:val="2"/>
        <w:spacing w:line="360" w:lineRule="auto"/>
        <w:ind w:firstLine="560" w:firstLineChars="200"/>
        <w:rPr>
          <w:rFonts w:ascii="仿宋" w:hAnsi="仿宋" w:eastAsia="仿宋"/>
          <w:kern w:val="0"/>
          <w:sz w:val="28"/>
          <w:szCs w:val="28"/>
        </w:rPr>
      </w:pPr>
    </w:p>
    <w:p>
      <w:pPr>
        <w:spacing w:line="360" w:lineRule="auto"/>
        <w:ind w:firstLine="560" w:firstLineChars="200"/>
        <w:rPr>
          <w:rFonts w:ascii="仿宋" w:hAnsi="仿宋" w:eastAsia="仿宋"/>
          <w:sz w:val="28"/>
          <w:szCs w:val="28"/>
        </w:rPr>
      </w:pPr>
    </w:p>
    <w:p>
      <w:pPr>
        <w:spacing w:line="360" w:lineRule="auto"/>
        <w:ind w:firstLine="560" w:firstLineChars="200"/>
        <w:rPr>
          <w:rFonts w:ascii="仿宋" w:hAnsi="仿宋" w:eastAsia="仿宋"/>
          <w:sz w:val="28"/>
          <w:szCs w:val="28"/>
        </w:rPr>
      </w:pPr>
    </w:p>
    <w:p>
      <w:pPr>
        <w:spacing w:line="360" w:lineRule="auto"/>
        <w:ind w:firstLine="560" w:firstLineChars="200"/>
        <w:rPr>
          <w:rFonts w:ascii="仿宋" w:hAnsi="仿宋" w:eastAsia="仿宋"/>
          <w:sz w:val="28"/>
          <w:szCs w:val="28"/>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218906"/>
      <w:docPartObj>
        <w:docPartGallery w:val="autotext"/>
      </w:docPartObj>
    </w:sdtPr>
    <w:sdtContent>
      <w:p>
        <w:pPr>
          <w:pStyle w:val="3"/>
          <w:jc w:val="center"/>
        </w:pPr>
        <w:r>
          <w:fldChar w:fldCharType="begin"/>
        </w:r>
        <w:r>
          <w:instrText xml:space="preserve"> PAGE   \* MERGEFORMAT </w:instrText>
        </w:r>
        <w:r>
          <w:fldChar w:fldCharType="separate"/>
        </w:r>
        <w:r>
          <w:rPr>
            <w:lang w:val="zh-CN"/>
          </w:rPr>
          <w:t>20</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DD568A"/>
    <w:rsid w:val="06497B8A"/>
    <w:rsid w:val="54DD5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Times New Roman"/>
      <w:szCs w:val="20"/>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2026-06-25T01:45:00Z</dcterms:created>
  <dc:creator>沈阳</dc:creator>
  <cp:lastModifiedBy>hebowen</cp:lastModifiedBy>
  <dcterms:modified xsi:type="dcterms:W3CDTF">2026-07-02T07:11:03Z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B7F4EC7CB69A4D4ABE8C6E095C00A69F</vt:lpwstr>
  </property>
</Properties>
</file>