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right="1444"/>
        <w:jc w:val="right"/>
        <w:rPr>
          <w:rFonts w:ascii="仿宋_GB2312" w:eastAsia="仿宋_GB2312"/>
          <w:b/>
          <w:sz w:val="28"/>
          <w:szCs w:val="28"/>
        </w:rPr>
      </w:pPr>
      <w:r>
        <w:rPr>
          <w:rFonts w:hint="eastAsia" w:ascii="仿宋_GB2312" w:eastAsia="仿宋_GB2312"/>
          <w:b/>
          <w:sz w:val="28"/>
          <w:szCs w:val="28"/>
        </w:rPr>
        <w:t>合同编号：</w:t>
      </w:r>
    </w:p>
    <w:p>
      <w:pPr>
        <w:rPr>
          <w:rFonts w:ascii="黑体" w:eastAsia="黑体"/>
          <w:b/>
          <w:sz w:val="44"/>
          <w:szCs w:val="44"/>
        </w:rPr>
      </w:pPr>
    </w:p>
    <w:p>
      <w:pPr>
        <w:rPr>
          <w:rFonts w:ascii="黑体" w:eastAsia="黑体"/>
          <w:b/>
          <w:sz w:val="44"/>
          <w:szCs w:val="44"/>
        </w:rPr>
      </w:pPr>
    </w:p>
    <w:p>
      <w:pPr>
        <w:jc w:val="center"/>
        <w:rPr>
          <w:rFonts w:ascii="楷体_GB2312" w:eastAsia="楷体_GB2312"/>
          <w:b/>
          <w:sz w:val="84"/>
          <w:szCs w:val="84"/>
        </w:rPr>
      </w:pPr>
      <w:r>
        <w:rPr>
          <w:rFonts w:hint="eastAsia" w:ascii="楷体_GB2312" w:eastAsia="楷体_GB2312"/>
          <w:b/>
          <w:sz w:val="84"/>
          <w:szCs w:val="84"/>
        </w:rPr>
        <w:t>经纪业务开户合同书</w:t>
      </w:r>
    </w:p>
    <w:p>
      <w:pPr>
        <w:jc w:val="center"/>
        <w:rPr>
          <w:rFonts w:ascii="楷体_GB2312" w:eastAsia="楷体_GB2312"/>
          <w:b/>
          <w:sz w:val="84"/>
          <w:szCs w:val="84"/>
        </w:rPr>
      </w:pP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28"/>
        <w:gridCol w:w="73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pPr>
              <w:jc w:val="center"/>
              <w:rPr>
                <w:rFonts w:ascii="宋体" w:hAnsi="宋体"/>
                <w:b/>
                <w:sz w:val="28"/>
                <w:szCs w:val="28"/>
              </w:rPr>
            </w:pPr>
            <w:r>
              <w:rPr>
                <w:rFonts w:hint="eastAsia" w:ascii="宋体" w:hAnsi="宋体"/>
                <w:b/>
                <w:sz w:val="28"/>
                <w:szCs w:val="28"/>
              </w:rPr>
              <w:t>客户编号</w:t>
            </w:r>
          </w:p>
        </w:tc>
        <w:tc>
          <w:tcPr>
            <w:tcW w:w="7308" w:type="dxa"/>
          </w:tcPr>
          <w:p>
            <w:pPr>
              <w:jc w:val="center"/>
              <w:rPr>
                <w:rFonts w:ascii="楷体_GB2312" w:eastAsia="楷体_GB2312"/>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pPr>
              <w:jc w:val="center"/>
              <w:rPr>
                <w:rFonts w:ascii="宋体" w:hAnsi="宋体"/>
                <w:b/>
                <w:sz w:val="28"/>
                <w:szCs w:val="28"/>
              </w:rPr>
            </w:pPr>
            <w:r>
              <w:rPr>
                <w:rFonts w:hint="eastAsia" w:ascii="宋体" w:hAnsi="宋体"/>
                <w:b/>
                <w:sz w:val="28"/>
                <w:szCs w:val="28"/>
              </w:rPr>
              <w:t>客户名称</w:t>
            </w:r>
          </w:p>
        </w:tc>
        <w:tc>
          <w:tcPr>
            <w:tcW w:w="7308" w:type="dxa"/>
          </w:tcPr>
          <w:p>
            <w:pPr>
              <w:jc w:val="center"/>
              <w:rPr>
                <w:rFonts w:ascii="楷体_GB2312" w:eastAsia="楷体_GB2312"/>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pPr>
              <w:jc w:val="center"/>
              <w:rPr>
                <w:rFonts w:ascii="宋体" w:hAnsi="宋体"/>
                <w:b/>
                <w:sz w:val="28"/>
                <w:szCs w:val="28"/>
              </w:rPr>
            </w:pPr>
            <w:r>
              <w:rPr>
                <w:rFonts w:hint="eastAsia" w:ascii="宋体" w:hAnsi="宋体"/>
                <w:b/>
                <w:sz w:val="28"/>
                <w:szCs w:val="28"/>
              </w:rPr>
              <w:t>开户日期</w:t>
            </w:r>
          </w:p>
        </w:tc>
        <w:tc>
          <w:tcPr>
            <w:tcW w:w="7308" w:type="dxa"/>
          </w:tcPr>
          <w:p>
            <w:pPr>
              <w:ind w:firstLine="1105" w:firstLineChars="393"/>
              <w:rPr>
                <w:rFonts w:ascii="楷体_GB2312" w:eastAsia="楷体_GB2312"/>
                <w:b/>
                <w:sz w:val="28"/>
                <w:szCs w:val="28"/>
              </w:rPr>
            </w:pPr>
            <w:r>
              <w:rPr>
                <w:rFonts w:hint="eastAsia" w:ascii="楷体_GB2312" w:eastAsia="楷体_GB2312"/>
                <w:b/>
                <w:sz w:val="28"/>
                <w:szCs w:val="2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vAlign w:val="center"/>
          </w:tcPr>
          <w:p>
            <w:pPr>
              <w:jc w:val="center"/>
              <w:rPr>
                <w:rFonts w:ascii="宋体" w:hAnsi="宋体"/>
                <w:b/>
                <w:sz w:val="28"/>
                <w:szCs w:val="28"/>
              </w:rPr>
            </w:pPr>
            <w:r>
              <w:rPr>
                <w:rFonts w:hint="eastAsia" w:ascii="宋体" w:hAnsi="宋体"/>
                <w:b/>
                <w:sz w:val="28"/>
                <w:szCs w:val="28"/>
              </w:rPr>
              <w:t>客户类别</w:t>
            </w:r>
          </w:p>
        </w:tc>
        <w:tc>
          <w:tcPr>
            <w:tcW w:w="7308" w:type="dxa"/>
          </w:tcPr>
          <w:p>
            <w:pPr>
              <w:rPr>
                <w:rFonts w:ascii="宋体" w:hAnsi="宋体"/>
                <w:sz w:val="18"/>
                <w:szCs w:val="18"/>
              </w:rPr>
            </w:pPr>
            <w:r>
              <w:rPr>
                <w:rFonts w:hint="eastAsia"/>
                <w:sz w:val="24"/>
              </w:rPr>
              <w:t>□</w:t>
            </w:r>
            <w:r>
              <w:rPr>
                <w:rFonts w:hint="eastAsia" w:ascii="宋体" w:hAnsi="宋体"/>
                <w:sz w:val="18"/>
                <w:szCs w:val="18"/>
              </w:rPr>
              <w:t xml:space="preserve">境内自然人  </w:t>
            </w:r>
            <w:r>
              <w:rPr>
                <w:rFonts w:hint="eastAsia"/>
                <w:sz w:val="24"/>
              </w:rPr>
              <w:t>□</w:t>
            </w:r>
            <w:r>
              <w:rPr>
                <w:rFonts w:hint="eastAsia" w:ascii="宋体" w:hAnsi="宋体"/>
                <w:sz w:val="18"/>
                <w:szCs w:val="18"/>
              </w:rPr>
              <w:t xml:space="preserve">港澳台居民  </w:t>
            </w:r>
            <w:r>
              <w:rPr>
                <w:rFonts w:hint="eastAsia"/>
                <w:sz w:val="24"/>
              </w:rPr>
              <w:t>□</w:t>
            </w:r>
            <w:r>
              <w:rPr>
                <w:rFonts w:hint="eastAsia" w:ascii="宋体" w:hAnsi="宋体"/>
                <w:sz w:val="18"/>
                <w:szCs w:val="18"/>
              </w:rPr>
              <w:t>有永久居留权的外国人</w:t>
            </w:r>
          </w:p>
          <w:p>
            <w:pPr>
              <w:rPr>
                <w:rFonts w:ascii="宋体" w:hAnsi="宋体"/>
                <w:sz w:val="18"/>
                <w:szCs w:val="18"/>
              </w:rPr>
            </w:pPr>
            <w:r>
              <w:rPr>
                <w:rFonts w:hint="eastAsia"/>
                <w:sz w:val="24"/>
              </w:rPr>
              <w:t>□</w:t>
            </w:r>
            <w:r>
              <w:rPr>
                <w:rFonts w:hint="eastAsia" w:ascii="宋体" w:hAnsi="宋体"/>
                <w:sz w:val="18"/>
                <w:szCs w:val="18"/>
              </w:rPr>
              <w:t xml:space="preserve">境内机构  </w:t>
            </w:r>
            <w:r>
              <w:rPr>
                <w:rFonts w:hint="eastAsia"/>
                <w:sz w:val="24"/>
              </w:rPr>
              <w:t>□</w:t>
            </w:r>
            <w:r>
              <w:rPr>
                <w:rFonts w:hint="eastAsia" w:ascii="宋体" w:hAnsi="宋体"/>
                <w:sz w:val="18"/>
                <w:szCs w:val="18"/>
              </w:rPr>
              <w:t xml:space="preserve">境外机构  </w:t>
            </w:r>
            <w:r>
              <w:rPr>
                <w:rFonts w:hint="eastAsia"/>
                <w:sz w:val="24"/>
              </w:rPr>
              <w:t>□</w:t>
            </w:r>
            <w:r>
              <w:rPr>
                <w:rFonts w:hint="eastAsia" w:ascii="宋体" w:hAnsi="宋体"/>
                <w:sz w:val="18"/>
                <w:szCs w:val="18"/>
              </w:rPr>
              <w:t>外国战略投资者</w:t>
            </w:r>
          </w:p>
          <w:p>
            <w:pPr>
              <w:rPr>
                <w:rFonts w:ascii="楷体_GB2312" w:eastAsia="楷体_GB2312"/>
                <w:b/>
                <w:sz w:val="28"/>
                <w:szCs w:val="28"/>
              </w:rPr>
            </w:pPr>
            <w:r>
              <w:rPr>
                <w:rFonts w:hint="eastAsia"/>
                <w:sz w:val="24"/>
              </w:rPr>
              <w:t>□</w:t>
            </w:r>
            <w:r>
              <w:rPr>
                <w:rFonts w:hint="eastAsia" w:ascii="宋体" w:hAnsi="宋体"/>
                <w:sz w:val="18"/>
                <w:szCs w:val="18"/>
              </w:rPr>
              <w:t xml:space="preserve">符合一定条件的境外自然人  </w:t>
            </w:r>
            <w:r>
              <w:rPr>
                <w:rFonts w:hint="eastAsia"/>
                <w:sz w:val="24"/>
              </w:rPr>
              <w:t>□</w:t>
            </w:r>
            <w:r>
              <w:rPr>
                <w:rFonts w:hint="eastAsia" w:ascii="宋体" w:hAnsi="宋体"/>
                <w:sz w:val="18"/>
                <w:szCs w:val="18"/>
              </w:rPr>
              <w:t>其它</w:t>
            </w:r>
            <w:r>
              <w:rPr>
                <w:rFonts w:hint="eastAsia" w:ascii="宋体" w:hAnsi="宋体"/>
                <w:sz w:val="18"/>
                <w:szCs w:val="18"/>
                <w:u w:val="single"/>
              </w:rPr>
              <w:t xml:space="preserve">                      </w:t>
            </w:r>
          </w:p>
        </w:tc>
      </w:tr>
    </w:tbl>
    <w:p>
      <w:pPr>
        <w:ind w:right="1044"/>
        <w:rPr>
          <w:rFonts w:ascii="楷体_GB2312" w:eastAsia="楷体_GB2312"/>
          <w:b/>
          <w:sz w:val="28"/>
          <w:szCs w:val="28"/>
        </w:rPr>
      </w:pPr>
    </w:p>
    <w:p>
      <w:pPr>
        <w:ind w:right="1044"/>
        <w:rPr>
          <w:rFonts w:ascii="楷体_GB2312" w:eastAsia="楷体_GB2312"/>
          <w:b/>
          <w:sz w:val="28"/>
          <w:szCs w:val="28"/>
        </w:rPr>
      </w:pPr>
    </w:p>
    <w:p>
      <w:pPr>
        <w:ind w:right="1044"/>
        <w:rPr>
          <w:rFonts w:ascii="楷体_GB2312" w:eastAsia="楷体_GB2312"/>
          <w:color w:val="000000"/>
          <w:sz w:val="24"/>
        </w:rPr>
      </w:pPr>
      <w:r>
        <w:rPr>
          <w:rFonts w:ascii="楷体_GB2312" w:hAnsi="宋体" w:eastAsia="楷体_GB2312"/>
          <w:b/>
          <w:bCs/>
          <w:color w:val="000000"/>
          <w:sz w:val="48"/>
          <w:szCs w:val="48"/>
        </w:rPr>
        <w:drawing>
          <wp:inline distT="0" distB="0" distL="0" distR="0">
            <wp:extent cx="3427095" cy="492760"/>
            <wp:effectExtent l="19050" t="0" r="1905" b="0"/>
            <wp:docPr id="1" name="图片 1" descr="证券_股份_全称_无辅助线标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证券_股份_全称_无辅助线标准"/>
                    <pic:cNvPicPr>
                      <a:picLocks noChangeAspect="1" noChangeArrowheads="1"/>
                    </pic:cNvPicPr>
                  </pic:nvPicPr>
                  <pic:blipFill>
                    <a:blip r:embed="rId6" cstate="print"/>
                    <a:srcRect/>
                    <a:stretch>
                      <a:fillRect/>
                    </a:stretch>
                  </pic:blipFill>
                  <pic:spPr>
                    <a:xfrm>
                      <a:off x="0" y="0"/>
                      <a:ext cx="3427095" cy="492760"/>
                    </a:xfrm>
                    <a:prstGeom prst="rect">
                      <a:avLst/>
                    </a:prstGeom>
                    <a:noFill/>
                    <a:ln w="9525">
                      <a:noFill/>
                      <a:miter lim="800000"/>
                      <a:headEnd/>
                      <a:tailEnd/>
                    </a:ln>
                  </pic:spPr>
                </pic:pic>
              </a:graphicData>
            </a:graphic>
          </wp:inline>
        </w:drawing>
      </w:r>
    </w:p>
    <w:p>
      <w:pPr>
        <w:ind w:right="1044"/>
        <w:rPr>
          <w:rFonts w:ascii="楷体_GB2312" w:eastAsia="楷体_GB2312"/>
          <w:color w:val="000000"/>
          <w:sz w:val="24"/>
        </w:rPr>
      </w:pPr>
      <w:r>
        <w:rPr>
          <w:rFonts w:hint="eastAsia" w:ascii="楷体_GB2312" w:eastAsia="楷体_GB2312"/>
          <w:color w:val="000000"/>
          <w:sz w:val="24"/>
        </w:rPr>
        <w:t>公司地址：上海市浦东新区银城中路200号中银大厦39F</w:t>
      </w:r>
    </w:p>
    <w:p>
      <w:pPr>
        <w:ind w:right="1044"/>
        <w:rPr>
          <w:rFonts w:ascii="楷体_GB2312" w:eastAsia="楷体_GB2312"/>
          <w:color w:val="000000"/>
          <w:sz w:val="24"/>
        </w:rPr>
      </w:pPr>
      <w:r>
        <w:rPr>
          <w:rFonts w:hint="eastAsia" w:ascii="楷体_GB2312" w:eastAsia="楷体_GB2312"/>
          <w:color w:val="000000"/>
          <w:sz w:val="24"/>
        </w:rPr>
        <w:t>客服电话：</w:t>
      </w:r>
      <w:r>
        <w:rPr>
          <w:rFonts w:hint="eastAsia" w:ascii="楷体_GB2312" w:eastAsia="楷体_GB2312"/>
          <w:color w:val="000000"/>
          <w:sz w:val="24"/>
          <w:lang w:val="en-US" w:eastAsia="zh-CN"/>
        </w:rPr>
        <w:t>956026、</w:t>
      </w:r>
      <w:r>
        <w:rPr>
          <w:rFonts w:hint="eastAsia" w:ascii="楷体_GB2312" w:eastAsia="楷体_GB2312"/>
          <w:color w:val="000000"/>
          <w:sz w:val="24"/>
        </w:rPr>
        <w:t>400-620-8888</w:t>
      </w:r>
    </w:p>
    <w:p>
      <w:pPr>
        <w:ind w:right="1044"/>
        <w:rPr>
          <w:rFonts w:ascii="楷体_GB2312" w:eastAsia="楷体_GB2312"/>
          <w:color w:val="000000"/>
          <w:sz w:val="24"/>
        </w:rPr>
      </w:pPr>
      <w:r>
        <w:rPr>
          <w:rFonts w:hint="eastAsia" w:ascii="楷体_GB2312" w:eastAsia="楷体_GB2312"/>
          <w:color w:val="000000"/>
          <w:sz w:val="24"/>
        </w:rPr>
        <w:t>公司网址：</w:t>
      </w:r>
      <w:r>
        <w:fldChar w:fldCharType="begin"/>
      </w:r>
      <w:r>
        <w:instrText xml:space="preserve"> HYPERLINK "http://www.bocichina.com" </w:instrText>
      </w:r>
      <w:r>
        <w:fldChar w:fldCharType="separate"/>
      </w:r>
      <w:r>
        <w:rPr>
          <w:rStyle w:val="23"/>
          <w:rFonts w:hint="eastAsia" w:ascii="楷体_GB2312" w:eastAsia="楷体_GB2312"/>
          <w:color w:val="000000"/>
          <w:sz w:val="24"/>
        </w:rPr>
        <w:t>www.bocichina.com</w:t>
      </w:r>
      <w:r>
        <w:rPr>
          <w:rStyle w:val="23"/>
          <w:rFonts w:hint="eastAsia" w:ascii="楷体_GB2312" w:eastAsia="楷体_GB2312"/>
          <w:color w:val="000000"/>
          <w:sz w:val="24"/>
        </w:rPr>
        <w:fldChar w:fldCharType="end"/>
      </w:r>
    </w:p>
    <w:p>
      <w:pPr>
        <w:widowControl/>
        <w:jc w:val="left"/>
        <w:rPr>
          <w:rFonts w:ascii="仿宋" w:hAnsi="仿宋" w:eastAsia="仿宋"/>
        </w:rPr>
      </w:pPr>
    </w:p>
    <w:p>
      <w:pPr>
        <w:widowControl/>
        <w:jc w:val="left"/>
        <w:rPr>
          <w:rFonts w:ascii="仿宋" w:hAnsi="仿宋" w:eastAsia="仿宋"/>
        </w:rPr>
      </w:pPr>
      <w:r>
        <w:rPr>
          <w:rFonts w:ascii="仿宋" w:hAnsi="仿宋" w:eastAsia="仿宋"/>
        </w:rPr>
        <w:br w:type="page"/>
      </w:r>
    </w:p>
    <w:p>
      <w:pPr>
        <w:spacing w:line="360" w:lineRule="auto"/>
        <w:jc w:val="center"/>
        <w:rPr>
          <w:rFonts w:asciiTheme="minorEastAsia" w:hAnsiTheme="minorEastAsia" w:eastAsiaTheme="minorEastAsia"/>
          <w:b/>
          <w:sz w:val="28"/>
          <w:szCs w:val="28"/>
        </w:rPr>
      </w:pPr>
      <w:r>
        <w:rPr>
          <w:rFonts w:hint="eastAsia" w:asciiTheme="minorEastAsia" w:hAnsiTheme="minorEastAsia" w:eastAsiaTheme="minorEastAsia"/>
          <w:b/>
          <w:sz w:val="28"/>
          <w:szCs w:val="28"/>
        </w:rPr>
        <w:t>中银证券经纪业务开户合同书</w:t>
      </w:r>
    </w:p>
    <w:p>
      <w:pPr>
        <w:spacing w:line="360" w:lineRule="auto"/>
        <w:jc w:val="center"/>
        <w:rPr>
          <w:rFonts w:asciiTheme="minorEastAsia" w:hAnsiTheme="minorEastAsia" w:eastAsiaTheme="minorEastAsia"/>
          <w:b/>
          <w:sz w:val="36"/>
          <w:szCs w:val="36"/>
        </w:rPr>
      </w:pPr>
    </w:p>
    <w:p>
      <w:pPr>
        <w:spacing w:line="360" w:lineRule="auto"/>
        <w:jc w:val="center"/>
        <w:rPr>
          <w:rFonts w:asciiTheme="minorEastAsia" w:hAnsiTheme="minorEastAsia" w:eastAsiaTheme="minorEastAsia"/>
          <w:b/>
          <w:sz w:val="36"/>
          <w:szCs w:val="36"/>
        </w:rPr>
      </w:pPr>
      <w:r>
        <w:rPr>
          <w:rFonts w:hint="eastAsia" w:asciiTheme="minorEastAsia" w:hAnsiTheme="minorEastAsia" w:eastAsiaTheme="minorEastAsia"/>
          <w:b/>
          <w:sz w:val="36"/>
          <w:szCs w:val="36"/>
        </w:rPr>
        <w:t>目     录</w:t>
      </w:r>
    </w:p>
    <w:p>
      <w:pPr>
        <w:spacing w:line="360" w:lineRule="auto"/>
        <w:rPr>
          <w:rFonts w:ascii="仿宋" w:hAnsi="仿宋" w:eastAsia="仿宋"/>
        </w:rPr>
      </w:pPr>
    </w:p>
    <w:p>
      <w:pPr>
        <w:pStyle w:val="15"/>
        <w:tabs>
          <w:tab w:val="right" w:leader="dot" w:pos="9496"/>
        </w:tabs>
      </w:pPr>
      <w:r>
        <w:rPr>
          <w:rFonts w:ascii="仿宋" w:hAnsi="仿宋" w:eastAsia="仿宋"/>
          <w:sz w:val="24"/>
        </w:rPr>
        <w:fldChar w:fldCharType="begin"/>
      </w:r>
      <w:r>
        <w:rPr>
          <w:rFonts w:ascii="仿宋" w:hAnsi="仿宋" w:eastAsia="仿宋"/>
          <w:sz w:val="24"/>
        </w:rPr>
        <w:instrText xml:space="preserve"> TOC \o "1-1" \h \z \u </w:instrText>
      </w:r>
      <w:r>
        <w:rPr>
          <w:rFonts w:ascii="仿宋" w:hAnsi="仿宋" w:eastAsia="仿宋"/>
          <w:sz w:val="24"/>
        </w:rPr>
        <w:fldChar w:fldCharType="separate"/>
      </w:r>
      <w:r>
        <w:rPr>
          <w:rFonts w:ascii="仿宋" w:hAnsi="仿宋" w:eastAsia="仿宋" w:cstheme="minorBidi"/>
          <w:kern w:val="0"/>
        </w:rPr>
        <w:fldChar w:fldCharType="begin"/>
      </w:r>
      <w:r>
        <w:rPr>
          <w:rFonts w:ascii="仿宋" w:hAnsi="仿宋" w:eastAsia="仿宋" w:cstheme="minorBidi"/>
          <w:kern w:val="0"/>
        </w:rPr>
        <w:instrText xml:space="preserve"> HYPERLINK \l _Toc29523 </w:instrText>
      </w:r>
      <w:r>
        <w:rPr>
          <w:rFonts w:ascii="仿宋" w:hAnsi="仿宋" w:eastAsia="仿宋" w:cstheme="minorBidi"/>
          <w:kern w:val="0"/>
        </w:rPr>
        <w:fldChar w:fldCharType="separate"/>
      </w:r>
      <w:r>
        <w:rPr>
          <w:rFonts w:hint="eastAsia" w:ascii="仿宋" w:hAnsi="仿宋" w:eastAsia="仿宋"/>
        </w:rPr>
        <w:t>开户合同书签署页</w:t>
      </w:r>
      <w:r>
        <w:tab/>
      </w:r>
      <w:r>
        <w:fldChar w:fldCharType="begin"/>
      </w:r>
      <w:r>
        <w:instrText xml:space="preserve"> PAGEREF _Toc29523 \h </w:instrText>
      </w:r>
      <w:r>
        <w:fldChar w:fldCharType="separate"/>
      </w:r>
      <w:r>
        <w:t>2</w:t>
      </w:r>
      <w:r>
        <w:fldChar w:fldCharType="end"/>
      </w:r>
      <w:r>
        <w:rPr>
          <w:rFonts w:ascii="仿宋" w:hAnsi="仿宋" w:eastAsia="仿宋" w:cstheme="minorBidi"/>
          <w:kern w:val="0"/>
        </w:rPr>
        <w:fldChar w:fldCharType="end"/>
      </w:r>
    </w:p>
    <w:p>
      <w:pPr>
        <w:pStyle w:val="15"/>
        <w:tabs>
          <w:tab w:val="right" w:leader="dot" w:pos="9496"/>
        </w:tabs>
      </w:pPr>
      <w:r>
        <w:rPr>
          <w:rFonts w:ascii="仿宋" w:hAnsi="仿宋" w:eastAsia="仿宋" w:cstheme="minorBidi"/>
          <w:kern w:val="0"/>
        </w:rPr>
        <w:fldChar w:fldCharType="begin"/>
      </w:r>
      <w:r>
        <w:rPr>
          <w:rFonts w:ascii="仿宋" w:hAnsi="仿宋" w:eastAsia="仿宋" w:cstheme="minorBidi"/>
          <w:kern w:val="0"/>
        </w:rPr>
        <w:instrText xml:space="preserve"> HYPERLINK \l _Toc22220 </w:instrText>
      </w:r>
      <w:r>
        <w:rPr>
          <w:rFonts w:ascii="仿宋" w:hAnsi="仿宋" w:eastAsia="仿宋" w:cstheme="minorBidi"/>
          <w:kern w:val="0"/>
        </w:rPr>
        <w:fldChar w:fldCharType="separate"/>
      </w:r>
      <w:r>
        <w:rPr>
          <w:rFonts w:ascii="仿宋_GB2312" w:hAnsi="仿宋_GB2312" w:eastAsia="仿宋_GB2312" w:cs="仿宋_GB2312"/>
          <w:szCs w:val="24"/>
        </w:rPr>
        <w:t xml:space="preserve">1. </w:t>
      </w:r>
      <w:r>
        <w:rPr>
          <w:rFonts w:hint="eastAsia" w:ascii="仿宋_GB2312" w:hAnsi="仿宋_GB2312" w:eastAsia="仿宋_GB2312" w:cs="仿宋_GB2312"/>
          <w:kern w:val="0"/>
          <w:szCs w:val="24"/>
        </w:rPr>
        <w:t>客户须知</w:t>
      </w:r>
      <w:r>
        <w:tab/>
      </w:r>
      <w:r>
        <w:fldChar w:fldCharType="begin"/>
      </w:r>
      <w:r>
        <w:instrText xml:space="preserve"> PAGEREF _Toc22220 \h </w:instrText>
      </w:r>
      <w:r>
        <w:fldChar w:fldCharType="separate"/>
      </w:r>
      <w:r>
        <w:t>3</w:t>
      </w:r>
      <w:r>
        <w:fldChar w:fldCharType="end"/>
      </w:r>
      <w:r>
        <w:rPr>
          <w:rFonts w:ascii="仿宋" w:hAnsi="仿宋" w:eastAsia="仿宋" w:cstheme="minorBidi"/>
          <w:kern w:val="0"/>
        </w:rPr>
        <w:fldChar w:fldCharType="end"/>
      </w:r>
    </w:p>
    <w:p>
      <w:pPr>
        <w:pStyle w:val="15"/>
        <w:tabs>
          <w:tab w:val="right" w:leader="dot" w:pos="9496"/>
        </w:tabs>
      </w:pPr>
      <w:r>
        <w:rPr>
          <w:rFonts w:ascii="仿宋" w:hAnsi="仿宋" w:eastAsia="仿宋" w:cstheme="minorBidi"/>
          <w:kern w:val="0"/>
        </w:rPr>
        <w:fldChar w:fldCharType="begin"/>
      </w:r>
      <w:r>
        <w:rPr>
          <w:rFonts w:ascii="仿宋" w:hAnsi="仿宋" w:eastAsia="仿宋" w:cstheme="minorBidi"/>
          <w:kern w:val="0"/>
        </w:rPr>
        <w:instrText xml:space="preserve"> HYPERLINK \l _Toc24882 </w:instrText>
      </w:r>
      <w:r>
        <w:rPr>
          <w:rFonts w:ascii="仿宋" w:hAnsi="仿宋" w:eastAsia="仿宋" w:cstheme="minorBidi"/>
          <w:kern w:val="0"/>
        </w:rPr>
        <w:fldChar w:fldCharType="separate"/>
      </w:r>
      <w:r>
        <w:rPr>
          <w:rFonts w:ascii="仿宋_GB2312" w:hAnsi="仿宋_GB2312" w:eastAsia="仿宋_GB2312" w:cs="仿宋_GB2312"/>
          <w:kern w:val="0"/>
          <w:szCs w:val="24"/>
        </w:rPr>
        <w:t xml:space="preserve">2. </w:t>
      </w:r>
      <w:r>
        <w:rPr>
          <w:rFonts w:hint="eastAsia" w:ascii="仿宋_GB2312" w:hAnsi="仿宋_GB2312" w:eastAsia="仿宋_GB2312" w:cs="仿宋_GB2312"/>
          <w:kern w:val="0"/>
          <w:szCs w:val="24"/>
        </w:rPr>
        <w:t>证券公司客户账户开户协议</w:t>
      </w:r>
      <w:r>
        <w:tab/>
      </w:r>
      <w:r>
        <w:fldChar w:fldCharType="begin"/>
      </w:r>
      <w:r>
        <w:instrText xml:space="preserve"> PAGEREF _Toc24882 \h </w:instrText>
      </w:r>
      <w:r>
        <w:fldChar w:fldCharType="separate"/>
      </w:r>
      <w:r>
        <w:t>6</w:t>
      </w:r>
      <w:r>
        <w:fldChar w:fldCharType="end"/>
      </w:r>
      <w:r>
        <w:rPr>
          <w:rFonts w:ascii="仿宋" w:hAnsi="仿宋" w:eastAsia="仿宋" w:cstheme="minorBidi"/>
          <w:kern w:val="0"/>
        </w:rPr>
        <w:fldChar w:fldCharType="end"/>
      </w:r>
    </w:p>
    <w:p>
      <w:pPr>
        <w:pStyle w:val="15"/>
        <w:tabs>
          <w:tab w:val="right" w:leader="dot" w:pos="9496"/>
        </w:tabs>
      </w:pPr>
      <w:r>
        <w:rPr>
          <w:rFonts w:ascii="仿宋" w:hAnsi="仿宋" w:eastAsia="仿宋" w:cstheme="minorBidi"/>
          <w:kern w:val="0"/>
        </w:rPr>
        <w:fldChar w:fldCharType="begin"/>
      </w:r>
      <w:r>
        <w:rPr>
          <w:rFonts w:ascii="仿宋" w:hAnsi="仿宋" w:eastAsia="仿宋" w:cstheme="minorBidi"/>
          <w:kern w:val="0"/>
        </w:rPr>
        <w:instrText xml:space="preserve"> HYPERLINK \l _Toc10811 </w:instrText>
      </w:r>
      <w:r>
        <w:rPr>
          <w:rFonts w:ascii="仿宋" w:hAnsi="仿宋" w:eastAsia="仿宋" w:cstheme="minorBidi"/>
          <w:kern w:val="0"/>
        </w:rPr>
        <w:fldChar w:fldCharType="separate"/>
      </w:r>
      <w:r>
        <w:rPr>
          <w:rFonts w:ascii="仿宋" w:hAnsi="仿宋" w:eastAsia="仿宋" w:cs="黑体"/>
          <w:kern w:val="0"/>
        </w:rPr>
        <w:t xml:space="preserve">3. </w:t>
      </w:r>
      <w:r>
        <w:rPr>
          <w:rFonts w:hint="eastAsia" w:ascii="仿宋" w:hAnsi="仿宋" w:eastAsia="仿宋"/>
          <w:kern w:val="0"/>
        </w:rPr>
        <w:t>证券交易委托代理</w:t>
      </w:r>
      <w:r>
        <w:rPr>
          <w:rFonts w:hint="eastAsia" w:ascii="仿宋" w:hAnsi="仿宋" w:eastAsia="仿宋" w:cs="黑体"/>
          <w:kern w:val="0"/>
        </w:rPr>
        <w:t>协议</w:t>
      </w:r>
      <w:r>
        <w:tab/>
      </w:r>
      <w:r>
        <w:fldChar w:fldCharType="begin"/>
      </w:r>
      <w:r>
        <w:instrText xml:space="preserve"> PAGEREF _Toc10811 \h </w:instrText>
      </w:r>
      <w:r>
        <w:fldChar w:fldCharType="separate"/>
      </w:r>
      <w:r>
        <w:t>14</w:t>
      </w:r>
      <w:r>
        <w:fldChar w:fldCharType="end"/>
      </w:r>
      <w:r>
        <w:rPr>
          <w:rFonts w:ascii="仿宋" w:hAnsi="仿宋" w:eastAsia="仿宋" w:cstheme="minorBidi"/>
          <w:kern w:val="0"/>
        </w:rPr>
        <w:fldChar w:fldCharType="end"/>
      </w:r>
    </w:p>
    <w:p>
      <w:pPr>
        <w:pStyle w:val="15"/>
        <w:tabs>
          <w:tab w:val="right" w:leader="dot" w:pos="9496"/>
        </w:tabs>
      </w:pPr>
      <w:r>
        <w:rPr>
          <w:rFonts w:ascii="仿宋" w:hAnsi="仿宋" w:eastAsia="仿宋" w:cstheme="minorBidi"/>
          <w:kern w:val="0"/>
        </w:rPr>
        <w:fldChar w:fldCharType="begin"/>
      </w:r>
      <w:r>
        <w:rPr>
          <w:rFonts w:ascii="仿宋" w:hAnsi="仿宋" w:eastAsia="仿宋" w:cstheme="minorBidi"/>
          <w:kern w:val="0"/>
        </w:rPr>
        <w:instrText xml:space="preserve"> HYPERLINK \l _Toc24691 </w:instrText>
      </w:r>
      <w:r>
        <w:rPr>
          <w:rFonts w:ascii="仿宋" w:hAnsi="仿宋" w:eastAsia="仿宋" w:cstheme="minorBidi"/>
          <w:kern w:val="0"/>
        </w:rPr>
        <w:fldChar w:fldCharType="separate"/>
      </w:r>
      <w:r>
        <w:rPr>
          <w:rFonts w:ascii="仿宋" w:hAnsi="仿宋" w:eastAsia="仿宋"/>
          <w:kern w:val="0"/>
        </w:rPr>
        <w:t xml:space="preserve">4. </w:t>
      </w:r>
      <w:r>
        <w:rPr>
          <w:rFonts w:hint="eastAsia" w:ascii="仿宋" w:hAnsi="仿宋" w:eastAsia="仿宋"/>
          <w:kern w:val="0"/>
        </w:rPr>
        <w:t>证券交易委托风险揭示书</w:t>
      </w:r>
      <w:r>
        <w:tab/>
      </w:r>
      <w:r>
        <w:fldChar w:fldCharType="begin"/>
      </w:r>
      <w:r>
        <w:instrText xml:space="preserve"> PAGEREF _Toc24691 \h </w:instrText>
      </w:r>
      <w:r>
        <w:fldChar w:fldCharType="separate"/>
      </w:r>
      <w:r>
        <w:t>21</w:t>
      </w:r>
      <w:r>
        <w:fldChar w:fldCharType="end"/>
      </w:r>
      <w:r>
        <w:rPr>
          <w:rFonts w:ascii="仿宋" w:hAnsi="仿宋" w:eastAsia="仿宋" w:cstheme="minorBidi"/>
          <w:kern w:val="0"/>
        </w:rPr>
        <w:fldChar w:fldCharType="end"/>
      </w:r>
    </w:p>
    <w:p>
      <w:pPr>
        <w:pStyle w:val="15"/>
        <w:tabs>
          <w:tab w:val="right" w:leader="dot" w:pos="9496"/>
        </w:tabs>
      </w:pPr>
      <w:r>
        <w:rPr>
          <w:rFonts w:ascii="仿宋" w:hAnsi="仿宋" w:eastAsia="仿宋" w:cstheme="minorBidi"/>
          <w:kern w:val="0"/>
        </w:rPr>
        <w:fldChar w:fldCharType="begin"/>
      </w:r>
      <w:r>
        <w:rPr>
          <w:rFonts w:ascii="仿宋" w:hAnsi="仿宋" w:eastAsia="仿宋" w:cstheme="minorBidi"/>
          <w:kern w:val="0"/>
        </w:rPr>
        <w:instrText xml:space="preserve"> HYPERLINK \l _Toc26478 </w:instrText>
      </w:r>
      <w:r>
        <w:rPr>
          <w:rFonts w:ascii="仿宋" w:hAnsi="仿宋" w:eastAsia="仿宋" w:cstheme="minorBidi"/>
          <w:kern w:val="0"/>
        </w:rPr>
        <w:fldChar w:fldCharType="separate"/>
      </w:r>
      <w:r>
        <w:rPr>
          <w:rFonts w:ascii="仿宋" w:hAnsi="仿宋" w:eastAsia="仿宋" w:cs="Times New Roman"/>
          <w:spacing w:val="-20"/>
          <w:szCs w:val="36"/>
        </w:rPr>
        <w:t xml:space="preserve">5. </w:t>
      </w:r>
      <w:r>
        <w:rPr>
          <w:rFonts w:hint="eastAsia" w:ascii="仿宋" w:hAnsi="仿宋" w:eastAsia="仿宋" w:cs="Times New Roman"/>
          <w:spacing w:val="-20"/>
          <w:szCs w:val="36"/>
          <w:lang w:val="en-US" w:eastAsia="zh-CN"/>
        </w:rPr>
        <w:t xml:space="preserve"> </w:t>
      </w:r>
      <w:r>
        <w:rPr>
          <w:rFonts w:hint="eastAsia" w:ascii="仿宋" w:hAnsi="仿宋" w:eastAsia="仿宋"/>
        </w:rPr>
        <w:t>中银国际证券股份有限公司</w:t>
      </w:r>
      <w:r>
        <w:rPr>
          <w:rFonts w:hint="eastAsia" w:ascii="仿宋" w:hAnsi="仿宋" w:eastAsia="仿宋"/>
          <w:lang w:val="en-US" w:eastAsia="zh-CN"/>
        </w:rPr>
        <w:t>上海</w:t>
      </w:r>
      <w:r>
        <w:rPr>
          <w:rFonts w:hint="eastAsia" w:ascii="仿宋" w:hAnsi="仿宋" w:eastAsia="仿宋"/>
        </w:rPr>
        <w:t>证券交易所主板投资风险揭示书</w:t>
      </w:r>
      <w:r>
        <w:tab/>
      </w:r>
      <w:r>
        <w:fldChar w:fldCharType="begin"/>
      </w:r>
      <w:r>
        <w:instrText xml:space="preserve"> PAGEREF _Toc26478 \h </w:instrText>
      </w:r>
      <w:r>
        <w:fldChar w:fldCharType="separate"/>
      </w:r>
      <w:r>
        <w:t>23</w:t>
      </w:r>
      <w:r>
        <w:fldChar w:fldCharType="end"/>
      </w:r>
      <w:r>
        <w:rPr>
          <w:rFonts w:ascii="仿宋" w:hAnsi="仿宋" w:eastAsia="仿宋" w:cstheme="minorBidi"/>
          <w:kern w:val="0"/>
        </w:rPr>
        <w:fldChar w:fldCharType="end"/>
      </w:r>
    </w:p>
    <w:p>
      <w:pPr>
        <w:pStyle w:val="15"/>
        <w:tabs>
          <w:tab w:val="right" w:leader="dot" w:pos="9496"/>
        </w:tabs>
      </w:pPr>
      <w:r>
        <w:rPr>
          <w:rFonts w:ascii="仿宋" w:hAnsi="仿宋" w:eastAsia="仿宋" w:cstheme="minorBidi"/>
          <w:kern w:val="0"/>
        </w:rPr>
        <w:fldChar w:fldCharType="begin"/>
      </w:r>
      <w:r>
        <w:rPr>
          <w:rFonts w:ascii="仿宋" w:hAnsi="仿宋" w:eastAsia="仿宋" w:cstheme="minorBidi"/>
          <w:kern w:val="0"/>
        </w:rPr>
        <w:instrText xml:space="preserve"> HYPERLINK \l _Toc13434 </w:instrText>
      </w:r>
      <w:r>
        <w:rPr>
          <w:rFonts w:ascii="仿宋" w:hAnsi="仿宋" w:eastAsia="仿宋" w:cstheme="minorBidi"/>
          <w:kern w:val="0"/>
        </w:rPr>
        <w:fldChar w:fldCharType="separate"/>
      </w:r>
      <w:r>
        <w:rPr>
          <w:rFonts w:ascii="仿宋" w:hAnsi="仿宋" w:eastAsia="仿宋"/>
        </w:rPr>
        <w:t xml:space="preserve">6. </w:t>
      </w:r>
      <w:r>
        <w:rPr>
          <w:rFonts w:hint="eastAsia" w:ascii="仿宋" w:hAnsi="仿宋" w:eastAsia="仿宋"/>
        </w:rPr>
        <w:t>中银国际证券股份有限公司</w:t>
      </w:r>
      <w:r>
        <w:rPr>
          <w:rFonts w:ascii="仿宋" w:hAnsi="仿宋" w:eastAsia="仿宋" w:cstheme="minorBidi"/>
          <w:kern w:val="0"/>
        </w:rPr>
        <w:fldChar w:fldCharType="end"/>
      </w:r>
      <w:r>
        <w:rPr>
          <w:rFonts w:ascii="仿宋" w:hAnsi="仿宋" w:eastAsia="仿宋" w:cstheme="minorBidi"/>
          <w:kern w:val="0"/>
        </w:rPr>
        <w:fldChar w:fldCharType="begin"/>
      </w:r>
      <w:r>
        <w:rPr>
          <w:rFonts w:ascii="仿宋" w:hAnsi="仿宋" w:eastAsia="仿宋" w:cstheme="minorBidi"/>
          <w:kern w:val="0"/>
        </w:rPr>
        <w:instrText xml:space="preserve"> HYPERLINK \l _Toc14674 </w:instrText>
      </w:r>
      <w:r>
        <w:rPr>
          <w:rFonts w:ascii="仿宋" w:hAnsi="仿宋" w:eastAsia="仿宋" w:cstheme="minorBidi"/>
          <w:kern w:val="0"/>
        </w:rPr>
        <w:fldChar w:fldCharType="separate"/>
      </w:r>
      <w:r>
        <w:rPr>
          <w:rFonts w:hint="eastAsia" w:ascii="仿宋" w:hAnsi="仿宋" w:eastAsia="仿宋"/>
        </w:rPr>
        <w:t>深圳证券交易所主板投资风险揭示书</w:t>
      </w:r>
      <w:r>
        <w:tab/>
      </w:r>
      <w:r>
        <w:fldChar w:fldCharType="begin"/>
      </w:r>
      <w:r>
        <w:instrText xml:space="preserve"> PAGEREF _Toc14674 \h </w:instrText>
      </w:r>
      <w:r>
        <w:fldChar w:fldCharType="separate"/>
      </w:r>
      <w:r>
        <w:t>26</w:t>
      </w:r>
      <w:r>
        <w:fldChar w:fldCharType="end"/>
      </w:r>
      <w:r>
        <w:rPr>
          <w:rFonts w:ascii="仿宋" w:hAnsi="仿宋" w:eastAsia="仿宋" w:cstheme="minorBidi"/>
          <w:kern w:val="0"/>
        </w:rPr>
        <w:fldChar w:fldCharType="end"/>
      </w:r>
    </w:p>
    <w:p>
      <w:pPr>
        <w:pStyle w:val="15"/>
        <w:tabs>
          <w:tab w:val="right" w:leader="dot" w:pos="9496"/>
        </w:tabs>
      </w:pPr>
      <w:r>
        <w:rPr>
          <w:rFonts w:ascii="仿宋" w:hAnsi="仿宋" w:eastAsia="仿宋" w:cstheme="minorBidi"/>
          <w:kern w:val="0"/>
        </w:rPr>
        <w:fldChar w:fldCharType="begin"/>
      </w:r>
      <w:r>
        <w:rPr>
          <w:rFonts w:ascii="仿宋" w:hAnsi="仿宋" w:eastAsia="仿宋" w:cstheme="minorBidi"/>
          <w:kern w:val="0"/>
        </w:rPr>
        <w:instrText xml:space="preserve"> HYPERLINK \l _Toc28932 </w:instrText>
      </w:r>
      <w:r>
        <w:rPr>
          <w:rFonts w:ascii="仿宋" w:hAnsi="仿宋" w:eastAsia="仿宋" w:cstheme="minorBidi"/>
          <w:kern w:val="0"/>
        </w:rPr>
        <w:fldChar w:fldCharType="separate"/>
      </w:r>
      <w:r>
        <w:rPr>
          <w:rFonts w:ascii="仿宋" w:hAnsi="仿宋" w:eastAsia="仿宋"/>
        </w:rPr>
        <w:t xml:space="preserve">7. </w:t>
      </w:r>
      <w:r>
        <w:rPr>
          <w:rFonts w:hint="eastAsia" w:ascii="仿宋" w:hAnsi="仿宋" w:eastAsia="仿宋"/>
        </w:rPr>
        <w:t>中银证券服务和产品消费告知书</w:t>
      </w:r>
      <w:r>
        <w:tab/>
      </w:r>
      <w:r>
        <w:fldChar w:fldCharType="begin"/>
      </w:r>
      <w:r>
        <w:instrText xml:space="preserve"> PAGEREF _Toc28932 \h </w:instrText>
      </w:r>
      <w:r>
        <w:fldChar w:fldCharType="separate"/>
      </w:r>
      <w:r>
        <w:t>29</w:t>
      </w:r>
      <w:r>
        <w:fldChar w:fldCharType="end"/>
      </w:r>
      <w:r>
        <w:rPr>
          <w:rFonts w:ascii="仿宋" w:hAnsi="仿宋" w:eastAsia="仿宋" w:cstheme="minorBidi"/>
          <w:kern w:val="0"/>
        </w:rPr>
        <w:fldChar w:fldCharType="end"/>
      </w:r>
    </w:p>
    <w:p>
      <w:pPr>
        <w:pStyle w:val="15"/>
        <w:tabs>
          <w:tab w:val="right" w:leader="dot" w:pos="9496"/>
        </w:tabs>
      </w:pPr>
      <w:r>
        <w:rPr>
          <w:rFonts w:ascii="仿宋" w:hAnsi="仿宋" w:eastAsia="仿宋" w:cstheme="minorBidi"/>
          <w:kern w:val="0"/>
        </w:rPr>
        <w:fldChar w:fldCharType="begin"/>
      </w:r>
      <w:r>
        <w:rPr>
          <w:rFonts w:ascii="仿宋" w:hAnsi="仿宋" w:eastAsia="仿宋" w:cstheme="minorBidi"/>
          <w:kern w:val="0"/>
        </w:rPr>
        <w:instrText xml:space="preserve"> HYPERLINK \l _Toc6320 </w:instrText>
      </w:r>
      <w:r>
        <w:rPr>
          <w:rFonts w:ascii="仿宋" w:hAnsi="仿宋" w:eastAsia="仿宋" w:cstheme="minorBidi"/>
          <w:kern w:val="0"/>
        </w:rPr>
        <w:fldChar w:fldCharType="separate"/>
      </w:r>
      <w:r>
        <w:rPr>
          <w:rFonts w:ascii="仿宋" w:hAnsi="仿宋" w:eastAsia="仿宋"/>
        </w:rPr>
        <w:t xml:space="preserve">8. </w:t>
      </w:r>
      <w:r>
        <w:rPr>
          <w:rFonts w:hint="eastAsia" w:ascii="仿宋" w:hAnsi="仿宋" w:eastAsia="仿宋"/>
        </w:rPr>
        <w:t>买者自负承诺函</w:t>
      </w:r>
      <w:r>
        <w:tab/>
      </w:r>
      <w:r>
        <w:fldChar w:fldCharType="begin"/>
      </w:r>
      <w:r>
        <w:instrText xml:space="preserve"> PAGEREF _Toc6320 \h </w:instrText>
      </w:r>
      <w:r>
        <w:fldChar w:fldCharType="separate"/>
      </w:r>
      <w:r>
        <w:t>33</w:t>
      </w:r>
      <w:r>
        <w:fldChar w:fldCharType="end"/>
      </w:r>
      <w:r>
        <w:rPr>
          <w:rFonts w:ascii="仿宋" w:hAnsi="仿宋" w:eastAsia="仿宋" w:cstheme="minorBidi"/>
          <w:kern w:val="0"/>
        </w:rPr>
        <w:fldChar w:fldCharType="end"/>
      </w:r>
    </w:p>
    <w:p>
      <w:pPr>
        <w:pStyle w:val="15"/>
        <w:tabs>
          <w:tab w:val="right" w:leader="dot" w:pos="9496"/>
        </w:tabs>
      </w:pPr>
      <w:r>
        <w:rPr>
          <w:rFonts w:ascii="仿宋" w:hAnsi="仿宋" w:eastAsia="仿宋" w:cstheme="minorBidi"/>
          <w:kern w:val="0"/>
        </w:rPr>
        <w:fldChar w:fldCharType="begin"/>
      </w:r>
      <w:r>
        <w:rPr>
          <w:rFonts w:ascii="仿宋" w:hAnsi="仿宋" w:eastAsia="仿宋" w:cstheme="minorBidi"/>
          <w:kern w:val="0"/>
        </w:rPr>
        <w:instrText xml:space="preserve"> HYPERLINK \l _Toc4372 </w:instrText>
      </w:r>
      <w:r>
        <w:rPr>
          <w:rFonts w:ascii="仿宋" w:hAnsi="仿宋" w:eastAsia="仿宋" w:cstheme="minorBidi"/>
          <w:kern w:val="0"/>
        </w:rPr>
        <w:fldChar w:fldCharType="separate"/>
      </w:r>
      <w:r>
        <w:rPr>
          <w:rFonts w:ascii="仿宋" w:hAnsi="仿宋" w:eastAsia="仿宋"/>
        </w:rPr>
        <w:t xml:space="preserve">9. </w:t>
      </w:r>
      <w:r>
        <w:rPr>
          <w:rFonts w:hint="eastAsia" w:ascii="仿宋" w:hAnsi="仿宋" w:eastAsia="仿宋"/>
        </w:rPr>
        <w:t>网上自助委托风险揭示书</w:t>
      </w:r>
      <w:r>
        <w:tab/>
      </w:r>
      <w:r>
        <w:fldChar w:fldCharType="begin"/>
      </w:r>
      <w:r>
        <w:instrText xml:space="preserve"> PAGEREF _Toc4372 \h </w:instrText>
      </w:r>
      <w:r>
        <w:fldChar w:fldCharType="separate"/>
      </w:r>
      <w:r>
        <w:t>34</w:t>
      </w:r>
      <w:r>
        <w:fldChar w:fldCharType="end"/>
      </w:r>
      <w:r>
        <w:rPr>
          <w:rFonts w:ascii="仿宋" w:hAnsi="仿宋" w:eastAsia="仿宋" w:cstheme="minorBidi"/>
          <w:kern w:val="0"/>
        </w:rPr>
        <w:fldChar w:fldCharType="end"/>
      </w:r>
    </w:p>
    <w:p>
      <w:pPr>
        <w:pStyle w:val="15"/>
        <w:tabs>
          <w:tab w:val="right" w:leader="dot" w:pos="9496"/>
        </w:tabs>
      </w:pPr>
      <w:r>
        <w:rPr>
          <w:rFonts w:ascii="仿宋" w:hAnsi="仿宋" w:eastAsia="仿宋" w:cstheme="minorBidi"/>
          <w:kern w:val="0"/>
        </w:rPr>
        <w:fldChar w:fldCharType="begin"/>
      </w:r>
      <w:r>
        <w:rPr>
          <w:rFonts w:ascii="仿宋" w:hAnsi="仿宋" w:eastAsia="仿宋" w:cstheme="minorBidi"/>
          <w:kern w:val="0"/>
        </w:rPr>
        <w:instrText xml:space="preserve"> HYPERLINK \l _Toc1699 </w:instrText>
      </w:r>
      <w:r>
        <w:rPr>
          <w:rFonts w:ascii="仿宋" w:hAnsi="仿宋" w:eastAsia="仿宋" w:cstheme="minorBidi"/>
          <w:kern w:val="0"/>
        </w:rPr>
        <w:fldChar w:fldCharType="separate"/>
      </w:r>
      <w:r>
        <w:rPr>
          <w:rFonts w:ascii="仿宋" w:hAnsi="仿宋" w:eastAsia="仿宋"/>
        </w:rPr>
        <w:t>10.</w:t>
      </w:r>
      <w:r>
        <w:rPr>
          <w:rFonts w:hint="eastAsia" w:ascii="仿宋" w:hAnsi="仿宋" w:eastAsia="仿宋"/>
          <w:lang w:val="en-US" w:eastAsia="zh-CN"/>
        </w:rPr>
        <w:t xml:space="preserve"> </w:t>
      </w:r>
      <w:r>
        <w:rPr>
          <w:rFonts w:hint="eastAsia" w:ascii="仿宋" w:hAnsi="仿宋" w:eastAsia="仿宋"/>
        </w:rPr>
        <w:t>个人投资者行为指引</w:t>
      </w:r>
      <w:r>
        <w:tab/>
      </w:r>
      <w:r>
        <w:fldChar w:fldCharType="begin"/>
      </w:r>
      <w:r>
        <w:instrText xml:space="preserve"> PAGEREF _Toc1699 \h </w:instrText>
      </w:r>
      <w:r>
        <w:fldChar w:fldCharType="separate"/>
      </w:r>
      <w:r>
        <w:t>36</w:t>
      </w:r>
      <w:r>
        <w:fldChar w:fldCharType="end"/>
      </w:r>
      <w:r>
        <w:rPr>
          <w:rFonts w:ascii="仿宋" w:hAnsi="仿宋" w:eastAsia="仿宋" w:cstheme="minorBidi"/>
          <w:kern w:val="0"/>
        </w:rPr>
        <w:fldChar w:fldCharType="end"/>
      </w:r>
    </w:p>
    <w:p>
      <w:pPr>
        <w:pStyle w:val="15"/>
        <w:tabs>
          <w:tab w:val="right" w:leader="dot" w:pos="9496"/>
        </w:tabs>
      </w:pPr>
      <w:r>
        <w:rPr>
          <w:rFonts w:ascii="仿宋" w:hAnsi="仿宋" w:eastAsia="仿宋" w:cstheme="minorBidi"/>
          <w:kern w:val="0"/>
        </w:rPr>
        <w:fldChar w:fldCharType="begin"/>
      </w:r>
      <w:r>
        <w:rPr>
          <w:rFonts w:ascii="仿宋" w:hAnsi="仿宋" w:eastAsia="仿宋" w:cstheme="minorBidi"/>
          <w:kern w:val="0"/>
        </w:rPr>
        <w:instrText xml:space="preserve"> HYPERLINK \l _Toc17137 </w:instrText>
      </w:r>
      <w:r>
        <w:rPr>
          <w:rFonts w:ascii="仿宋" w:hAnsi="仿宋" w:eastAsia="仿宋" w:cstheme="minorBidi"/>
          <w:kern w:val="0"/>
        </w:rPr>
        <w:fldChar w:fldCharType="separate"/>
      </w:r>
      <w:r>
        <w:rPr>
          <w:rFonts w:ascii="仿宋" w:hAnsi="仿宋" w:eastAsia="仿宋"/>
          <w:kern w:val="0"/>
          <w:szCs w:val="21"/>
        </w:rPr>
        <w:t xml:space="preserve">11. </w:t>
      </w:r>
      <w:r>
        <w:rPr>
          <w:rFonts w:hint="eastAsia" w:ascii="仿宋" w:hAnsi="仿宋" w:eastAsia="仿宋"/>
          <w:kern w:val="0"/>
        </w:rPr>
        <w:t>证券投资基金投资人权益须知</w:t>
      </w:r>
      <w:r>
        <w:tab/>
      </w:r>
      <w:r>
        <w:fldChar w:fldCharType="begin"/>
      </w:r>
      <w:r>
        <w:instrText xml:space="preserve"> PAGEREF _Toc17137 \h </w:instrText>
      </w:r>
      <w:r>
        <w:fldChar w:fldCharType="separate"/>
      </w:r>
      <w:r>
        <w:t>38</w:t>
      </w:r>
      <w:r>
        <w:fldChar w:fldCharType="end"/>
      </w:r>
      <w:r>
        <w:rPr>
          <w:rFonts w:ascii="仿宋" w:hAnsi="仿宋" w:eastAsia="仿宋" w:cstheme="minorBidi"/>
          <w:kern w:val="0"/>
        </w:rPr>
        <w:fldChar w:fldCharType="end"/>
      </w:r>
    </w:p>
    <w:p>
      <w:pPr>
        <w:pStyle w:val="15"/>
        <w:tabs>
          <w:tab w:val="right" w:leader="dot" w:pos="9496"/>
        </w:tabs>
      </w:pPr>
      <w:r>
        <w:rPr>
          <w:rFonts w:ascii="仿宋" w:hAnsi="仿宋" w:eastAsia="仿宋" w:cstheme="minorBidi"/>
          <w:kern w:val="0"/>
        </w:rPr>
        <w:fldChar w:fldCharType="begin"/>
      </w:r>
      <w:r>
        <w:rPr>
          <w:rFonts w:ascii="仿宋" w:hAnsi="仿宋" w:eastAsia="仿宋" w:cstheme="minorBidi"/>
          <w:kern w:val="0"/>
        </w:rPr>
        <w:instrText xml:space="preserve"> HYPERLINK \l _Toc19336 </w:instrText>
      </w:r>
      <w:r>
        <w:rPr>
          <w:rFonts w:ascii="仿宋" w:hAnsi="仿宋" w:eastAsia="仿宋" w:cstheme="minorBidi"/>
          <w:kern w:val="0"/>
        </w:rPr>
        <w:fldChar w:fldCharType="separate"/>
      </w:r>
      <w:r>
        <w:rPr>
          <w:rFonts w:ascii="仿宋" w:hAnsi="仿宋" w:eastAsia="仿宋"/>
        </w:rPr>
        <w:t xml:space="preserve">12. </w:t>
      </w:r>
      <w:r>
        <w:rPr>
          <w:rFonts w:hint="eastAsia" w:ascii="仿宋" w:hAnsi="仿宋" w:eastAsia="仿宋"/>
        </w:rPr>
        <w:t>指定交易协议</w:t>
      </w:r>
      <w:r>
        <w:tab/>
      </w:r>
      <w:r>
        <w:fldChar w:fldCharType="begin"/>
      </w:r>
      <w:r>
        <w:instrText xml:space="preserve"> PAGEREF _Toc19336 \h </w:instrText>
      </w:r>
      <w:r>
        <w:fldChar w:fldCharType="separate"/>
      </w:r>
      <w:r>
        <w:t>43</w:t>
      </w:r>
      <w:r>
        <w:fldChar w:fldCharType="end"/>
      </w:r>
      <w:r>
        <w:rPr>
          <w:rFonts w:ascii="仿宋" w:hAnsi="仿宋" w:eastAsia="仿宋" w:cstheme="minorBidi"/>
          <w:kern w:val="0"/>
        </w:rPr>
        <w:fldChar w:fldCharType="end"/>
      </w:r>
    </w:p>
    <w:p>
      <w:pPr>
        <w:pStyle w:val="15"/>
        <w:tabs>
          <w:tab w:val="right" w:leader="dot" w:pos="9496"/>
        </w:tabs>
      </w:pPr>
      <w:r>
        <w:rPr>
          <w:rFonts w:ascii="仿宋" w:hAnsi="仿宋" w:eastAsia="仿宋" w:cstheme="minorBidi"/>
          <w:kern w:val="0"/>
        </w:rPr>
        <w:fldChar w:fldCharType="begin"/>
      </w:r>
      <w:r>
        <w:rPr>
          <w:rFonts w:ascii="仿宋" w:hAnsi="仿宋" w:eastAsia="仿宋" w:cstheme="minorBidi"/>
          <w:kern w:val="0"/>
        </w:rPr>
        <w:instrText xml:space="preserve"> HYPERLINK \l _Toc31726 </w:instrText>
      </w:r>
      <w:r>
        <w:rPr>
          <w:rFonts w:ascii="仿宋" w:hAnsi="仿宋" w:eastAsia="仿宋" w:cstheme="minorBidi"/>
          <w:kern w:val="0"/>
        </w:rPr>
        <w:fldChar w:fldCharType="separate"/>
      </w:r>
      <w:r>
        <w:rPr>
          <w:rFonts w:ascii="仿宋" w:hAnsi="仿宋" w:eastAsia="仿宋"/>
          <w:bCs w:val="0"/>
          <w:kern w:val="0"/>
        </w:rPr>
        <w:t xml:space="preserve">13. </w:t>
      </w:r>
      <w:r>
        <w:rPr>
          <w:rFonts w:hint="eastAsia" w:ascii="仿宋" w:hAnsi="仿宋" w:eastAsia="仿宋"/>
          <w:bCs w:val="0"/>
          <w:kern w:val="0"/>
        </w:rPr>
        <w:t>新股/新债申购风险提示</w:t>
      </w:r>
      <w:r>
        <w:tab/>
      </w:r>
      <w:r>
        <w:fldChar w:fldCharType="begin"/>
      </w:r>
      <w:r>
        <w:instrText xml:space="preserve"> PAGEREF _Toc31726 \h </w:instrText>
      </w:r>
      <w:r>
        <w:fldChar w:fldCharType="separate"/>
      </w:r>
      <w:r>
        <w:t>45</w:t>
      </w:r>
      <w:r>
        <w:fldChar w:fldCharType="end"/>
      </w:r>
      <w:r>
        <w:rPr>
          <w:rFonts w:ascii="仿宋" w:hAnsi="仿宋" w:eastAsia="仿宋" w:cstheme="minorBidi"/>
          <w:kern w:val="0"/>
        </w:rPr>
        <w:fldChar w:fldCharType="end"/>
      </w:r>
    </w:p>
    <w:p>
      <w:pPr>
        <w:pStyle w:val="15"/>
        <w:tabs>
          <w:tab w:val="right" w:leader="dot" w:pos="9496"/>
        </w:tabs>
      </w:pPr>
      <w:r>
        <w:rPr>
          <w:rFonts w:ascii="仿宋" w:hAnsi="仿宋" w:eastAsia="仿宋" w:cstheme="minorBidi"/>
          <w:kern w:val="0"/>
        </w:rPr>
        <w:fldChar w:fldCharType="begin"/>
      </w:r>
      <w:r>
        <w:rPr>
          <w:rFonts w:ascii="仿宋" w:hAnsi="仿宋" w:eastAsia="仿宋" w:cstheme="minorBidi"/>
          <w:kern w:val="0"/>
        </w:rPr>
        <w:instrText xml:space="preserve"> HYPERLINK \l _Toc17445 </w:instrText>
      </w:r>
      <w:r>
        <w:rPr>
          <w:rFonts w:ascii="仿宋" w:hAnsi="仿宋" w:eastAsia="仿宋" w:cstheme="minorBidi"/>
          <w:kern w:val="0"/>
        </w:rPr>
        <w:fldChar w:fldCharType="separate"/>
      </w:r>
      <w:r>
        <w:rPr>
          <w:rFonts w:ascii="仿宋" w:hAnsi="仿宋" w:eastAsia="仿宋"/>
          <w:bCs w:val="0"/>
          <w:kern w:val="0"/>
        </w:rPr>
        <w:t xml:space="preserve">14. </w:t>
      </w:r>
      <w:r>
        <w:rPr>
          <w:rFonts w:hint="eastAsia" w:ascii="仿宋" w:hAnsi="仿宋" w:eastAsia="仿宋"/>
          <w:bCs w:val="0"/>
          <w:kern w:val="0"/>
        </w:rPr>
        <w:t>营销人员权限揭示书</w:t>
      </w:r>
      <w:r>
        <w:tab/>
      </w:r>
      <w:r>
        <w:fldChar w:fldCharType="begin"/>
      </w:r>
      <w:r>
        <w:instrText xml:space="preserve"> PAGEREF _Toc17445 \h </w:instrText>
      </w:r>
      <w:r>
        <w:fldChar w:fldCharType="separate"/>
      </w:r>
      <w:r>
        <w:t>46</w:t>
      </w:r>
      <w:r>
        <w:fldChar w:fldCharType="end"/>
      </w:r>
      <w:r>
        <w:rPr>
          <w:rFonts w:ascii="仿宋" w:hAnsi="仿宋" w:eastAsia="仿宋" w:cstheme="minorBidi"/>
          <w:kern w:val="0"/>
        </w:rPr>
        <w:fldChar w:fldCharType="end"/>
      </w:r>
    </w:p>
    <w:p>
      <w:pPr>
        <w:pStyle w:val="15"/>
        <w:tabs>
          <w:tab w:val="right" w:leader="dot" w:pos="9496"/>
        </w:tabs>
      </w:pPr>
      <w:r>
        <w:rPr>
          <w:rFonts w:ascii="仿宋" w:hAnsi="仿宋" w:eastAsia="仿宋" w:cstheme="minorBidi"/>
          <w:kern w:val="0"/>
        </w:rPr>
        <w:fldChar w:fldCharType="begin"/>
      </w:r>
      <w:r>
        <w:rPr>
          <w:rFonts w:ascii="仿宋" w:hAnsi="仿宋" w:eastAsia="仿宋" w:cstheme="minorBidi"/>
          <w:kern w:val="0"/>
        </w:rPr>
        <w:instrText xml:space="preserve"> HYPERLINK \l _Toc30583 </w:instrText>
      </w:r>
      <w:r>
        <w:rPr>
          <w:rFonts w:ascii="仿宋" w:hAnsi="仿宋" w:eastAsia="仿宋" w:cstheme="minorBidi"/>
          <w:kern w:val="0"/>
        </w:rPr>
        <w:fldChar w:fldCharType="separate"/>
      </w:r>
      <w:r>
        <w:rPr>
          <w:rFonts w:ascii="仿宋" w:hAnsi="仿宋" w:eastAsia="仿宋"/>
          <w:bCs w:val="0"/>
          <w:kern w:val="0"/>
        </w:rPr>
        <w:t xml:space="preserve">15. </w:t>
      </w:r>
      <w:r>
        <w:rPr>
          <w:rFonts w:hint="eastAsia" w:ascii="仿宋" w:hAnsi="仿宋" w:eastAsia="仿宋"/>
          <w:bCs w:val="0"/>
          <w:kern w:val="0"/>
        </w:rPr>
        <w:t>个人/机构信息授权</w:t>
      </w:r>
      <w:r>
        <w:tab/>
      </w:r>
      <w:r>
        <w:fldChar w:fldCharType="begin"/>
      </w:r>
      <w:r>
        <w:instrText xml:space="preserve"> PAGEREF _Toc30583 \h </w:instrText>
      </w:r>
      <w:r>
        <w:fldChar w:fldCharType="separate"/>
      </w:r>
      <w:r>
        <w:t>48</w:t>
      </w:r>
      <w:r>
        <w:fldChar w:fldCharType="end"/>
      </w:r>
      <w:r>
        <w:rPr>
          <w:rFonts w:ascii="仿宋" w:hAnsi="仿宋" w:eastAsia="仿宋" w:cstheme="minorBidi"/>
          <w:kern w:val="0"/>
        </w:rPr>
        <w:fldChar w:fldCharType="end"/>
      </w:r>
    </w:p>
    <w:p>
      <w:pPr>
        <w:pStyle w:val="15"/>
        <w:tabs>
          <w:tab w:val="right" w:leader="dot" w:pos="9496"/>
        </w:tabs>
      </w:pPr>
      <w:r>
        <w:rPr>
          <w:rFonts w:ascii="仿宋" w:hAnsi="仿宋" w:eastAsia="仿宋" w:cstheme="minorBidi"/>
          <w:kern w:val="0"/>
        </w:rPr>
        <w:fldChar w:fldCharType="begin"/>
      </w:r>
      <w:r>
        <w:rPr>
          <w:rFonts w:ascii="仿宋" w:hAnsi="仿宋" w:eastAsia="仿宋" w:cstheme="minorBidi"/>
          <w:kern w:val="0"/>
        </w:rPr>
        <w:instrText xml:space="preserve"> HYPERLINK \l _Toc12556 </w:instrText>
      </w:r>
      <w:r>
        <w:rPr>
          <w:rFonts w:ascii="仿宋" w:hAnsi="仿宋" w:eastAsia="仿宋" w:cstheme="minorBidi"/>
          <w:kern w:val="0"/>
        </w:rPr>
        <w:fldChar w:fldCharType="separate"/>
      </w:r>
      <w:r>
        <w:rPr>
          <w:rFonts w:hint="eastAsia" w:ascii="仿宋" w:hAnsi="仿宋" w:eastAsia="仿宋"/>
          <w:bCs w:val="0"/>
          <w:kern w:val="0"/>
        </w:rPr>
        <w:t>16. 程序化交易服务协议</w:t>
      </w:r>
      <w:r>
        <w:tab/>
      </w:r>
      <w:r>
        <w:fldChar w:fldCharType="begin"/>
      </w:r>
      <w:r>
        <w:instrText xml:space="preserve"> PAGEREF _Toc12556 \h </w:instrText>
      </w:r>
      <w:r>
        <w:fldChar w:fldCharType="separate"/>
      </w:r>
      <w:r>
        <w:t>50</w:t>
      </w:r>
      <w:r>
        <w:fldChar w:fldCharType="end"/>
      </w:r>
      <w:r>
        <w:rPr>
          <w:rFonts w:ascii="仿宋" w:hAnsi="仿宋" w:eastAsia="仿宋" w:cstheme="minorBidi"/>
          <w:kern w:val="0"/>
        </w:rPr>
        <w:fldChar w:fldCharType="end"/>
      </w:r>
    </w:p>
    <w:p>
      <w:pPr>
        <w:pStyle w:val="15"/>
        <w:tabs>
          <w:tab w:val="right" w:leader="dot" w:pos="9496"/>
        </w:tabs>
      </w:pPr>
      <w:r>
        <w:rPr>
          <w:rFonts w:ascii="仿宋" w:hAnsi="仿宋" w:eastAsia="仿宋" w:cstheme="minorBidi"/>
          <w:kern w:val="0"/>
        </w:rPr>
        <w:fldChar w:fldCharType="begin"/>
      </w:r>
      <w:r>
        <w:rPr>
          <w:rFonts w:ascii="仿宋" w:hAnsi="仿宋" w:eastAsia="仿宋" w:cstheme="minorBidi"/>
          <w:kern w:val="0"/>
        </w:rPr>
        <w:instrText xml:space="preserve"> HYPERLINK \l _Toc25439 </w:instrText>
      </w:r>
      <w:r>
        <w:rPr>
          <w:rFonts w:ascii="仿宋" w:hAnsi="仿宋" w:eastAsia="仿宋" w:cstheme="minorBidi"/>
          <w:kern w:val="0"/>
        </w:rPr>
        <w:fldChar w:fldCharType="separate"/>
      </w:r>
      <w:r>
        <w:rPr>
          <w:rFonts w:hint="eastAsia" w:ascii="仿宋" w:hAnsi="仿宋" w:eastAsia="仿宋"/>
        </w:rPr>
        <w:t>附录：投资者常用信息</w:t>
      </w:r>
      <w:r>
        <w:tab/>
      </w:r>
      <w:r>
        <w:fldChar w:fldCharType="begin"/>
      </w:r>
      <w:r>
        <w:instrText xml:space="preserve"> PAGEREF _Toc25439 \h </w:instrText>
      </w:r>
      <w:r>
        <w:fldChar w:fldCharType="separate"/>
      </w:r>
      <w:r>
        <w:t>55</w:t>
      </w:r>
      <w:r>
        <w:fldChar w:fldCharType="end"/>
      </w:r>
      <w:r>
        <w:rPr>
          <w:rFonts w:ascii="仿宋" w:hAnsi="仿宋" w:eastAsia="仿宋" w:cstheme="minorBidi"/>
          <w:kern w:val="0"/>
        </w:rPr>
        <w:fldChar w:fldCharType="end"/>
      </w:r>
    </w:p>
    <w:p>
      <w:pPr>
        <w:spacing w:line="360" w:lineRule="auto"/>
        <w:rPr>
          <w:rFonts w:ascii="仿宋" w:hAnsi="仿宋" w:eastAsia="仿宋"/>
          <w:sz w:val="28"/>
          <w:szCs w:val="28"/>
        </w:rPr>
      </w:pPr>
      <w:r>
        <w:rPr>
          <w:rFonts w:ascii="仿宋" w:hAnsi="仿宋" w:eastAsia="仿宋" w:cstheme="minorBidi"/>
          <w:kern w:val="0"/>
        </w:rPr>
        <w:fldChar w:fldCharType="end"/>
      </w:r>
    </w:p>
    <w:p>
      <w:pPr>
        <w:spacing w:line="360" w:lineRule="auto"/>
        <w:rPr>
          <w:rFonts w:ascii="仿宋" w:hAnsi="仿宋" w:eastAsia="仿宋"/>
          <w:color w:val="FF0000"/>
        </w:rPr>
      </w:pPr>
    </w:p>
    <w:p>
      <w:pPr>
        <w:widowControl/>
        <w:spacing w:line="360" w:lineRule="auto"/>
        <w:jc w:val="left"/>
        <w:rPr>
          <w:rFonts w:ascii="仿宋" w:hAnsi="仿宋" w:eastAsia="仿宋"/>
        </w:rPr>
      </w:pPr>
    </w:p>
    <w:p>
      <w:pPr>
        <w:widowControl/>
        <w:spacing w:line="360" w:lineRule="auto"/>
        <w:jc w:val="left"/>
        <w:rPr>
          <w:rFonts w:ascii="仿宋" w:hAnsi="仿宋" w:eastAsia="仿宋"/>
        </w:rPr>
      </w:pPr>
    </w:p>
    <w:p>
      <w:pPr>
        <w:widowControl/>
        <w:spacing w:line="360" w:lineRule="auto"/>
        <w:jc w:val="left"/>
        <w:rPr>
          <w:rFonts w:ascii="仿宋" w:hAnsi="仿宋" w:eastAsia="仿宋"/>
        </w:rPr>
      </w:pPr>
    </w:p>
    <w:p>
      <w:pPr>
        <w:widowControl/>
        <w:spacing w:line="360" w:lineRule="auto"/>
        <w:jc w:val="left"/>
        <w:rPr>
          <w:rFonts w:ascii="仿宋" w:hAnsi="仿宋" w:eastAsia="仿宋"/>
        </w:rPr>
      </w:pPr>
    </w:p>
    <w:p>
      <w:pPr>
        <w:pStyle w:val="19"/>
        <w:jc w:val="both"/>
        <w:rPr>
          <w:rFonts w:ascii="仿宋" w:hAnsi="仿宋" w:eastAsia="仿宋"/>
        </w:rPr>
      </w:pPr>
      <w:bookmarkStart w:id="0" w:name="_Toc43907002"/>
    </w:p>
    <w:p>
      <w:pPr>
        <w:pStyle w:val="19"/>
        <w:rPr>
          <w:rFonts w:ascii="仿宋" w:hAnsi="仿宋" w:eastAsia="仿宋"/>
        </w:rPr>
      </w:pPr>
      <w:bookmarkStart w:id="1" w:name="_Toc12840"/>
      <w:bookmarkStart w:id="2" w:name="_Toc22367"/>
      <w:bookmarkStart w:id="3" w:name="_Toc24715"/>
      <w:bookmarkStart w:id="4" w:name="_Toc12736"/>
      <w:bookmarkStart w:id="5" w:name="_Toc29523"/>
      <w:bookmarkStart w:id="6" w:name="_Toc24751"/>
      <w:bookmarkStart w:id="7" w:name="_Toc422"/>
      <w:bookmarkStart w:id="8" w:name="_Toc22107"/>
      <w:bookmarkStart w:id="9" w:name="_Toc27144"/>
      <w:bookmarkStart w:id="10" w:name="_Toc2254"/>
      <w:bookmarkStart w:id="11" w:name="_Toc21842"/>
      <w:r>
        <w:rPr>
          <w:rFonts w:hint="eastAsia" w:ascii="仿宋" w:hAnsi="仿宋" w:eastAsia="仿宋"/>
        </w:rPr>
        <w:t>开户合同书签署页</w:t>
      </w:r>
      <w:bookmarkEnd w:id="0"/>
      <w:bookmarkEnd w:id="1"/>
      <w:bookmarkEnd w:id="2"/>
      <w:bookmarkEnd w:id="3"/>
      <w:bookmarkEnd w:id="4"/>
      <w:bookmarkEnd w:id="5"/>
      <w:bookmarkEnd w:id="6"/>
      <w:bookmarkEnd w:id="7"/>
      <w:bookmarkEnd w:id="8"/>
      <w:bookmarkEnd w:id="9"/>
      <w:bookmarkEnd w:id="10"/>
      <w:bookmarkEnd w:id="11"/>
    </w:p>
    <w:p>
      <w:pPr>
        <w:spacing w:line="360" w:lineRule="auto"/>
        <w:rPr>
          <w:rFonts w:ascii="仿宋" w:hAnsi="仿宋" w:eastAsia="仿宋"/>
          <w:sz w:val="18"/>
          <w:szCs w:val="18"/>
        </w:rPr>
      </w:pPr>
      <w:r>
        <w:rPr>
          <w:rFonts w:hint="eastAsia" w:ascii="仿宋" w:hAnsi="仿宋" w:eastAsia="仿宋"/>
          <w:sz w:val="18"/>
          <w:szCs w:val="18"/>
        </w:rPr>
        <w:t>尊敬的投资者：</w:t>
      </w:r>
    </w:p>
    <w:p>
      <w:pPr>
        <w:spacing w:line="360" w:lineRule="auto"/>
        <w:ind w:firstLine="360" w:firstLineChars="200"/>
        <w:rPr>
          <w:rFonts w:ascii="仿宋" w:hAnsi="仿宋" w:eastAsia="仿宋"/>
          <w:sz w:val="18"/>
          <w:szCs w:val="18"/>
        </w:rPr>
      </w:pPr>
      <w:r>
        <w:rPr>
          <w:rFonts w:hint="eastAsia" w:ascii="仿宋" w:hAnsi="仿宋" w:eastAsia="仿宋"/>
          <w:sz w:val="18"/>
          <w:szCs w:val="18"/>
        </w:rPr>
        <w:t>感谢您即将选择中银国际证券股份有限公司（以下简称“本公司”）进行证券投资交易，很荣幸为您服务。为</w:t>
      </w:r>
      <w:r>
        <w:rPr>
          <w:rFonts w:ascii="仿宋" w:hAnsi="仿宋" w:eastAsia="仿宋"/>
          <w:sz w:val="18"/>
          <w:szCs w:val="18"/>
        </w:rPr>
        <w:t>防范非法证券活动</w:t>
      </w:r>
      <w:r>
        <w:rPr>
          <w:rFonts w:hint="eastAsia" w:ascii="仿宋" w:hAnsi="仿宋" w:eastAsia="仿宋"/>
          <w:sz w:val="18"/>
          <w:szCs w:val="18"/>
        </w:rPr>
        <w:t>，充分认识投资风险，切实保护您的合法权益，特别提请您详细阅读本开户合同书的全部内容后慎重决定是否签署。若您在阅读中遇到困难和疑问，请向本公司分支机构工作人员咨询帮助，确保准确全面理解。</w:t>
      </w:r>
    </w:p>
    <w:p>
      <w:pPr>
        <w:spacing w:line="360" w:lineRule="auto"/>
        <w:ind w:firstLine="360" w:firstLineChars="200"/>
        <w:rPr>
          <w:rFonts w:ascii="仿宋" w:hAnsi="仿宋" w:eastAsia="仿宋"/>
          <w:sz w:val="18"/>
          <w:szCs w:val="18"/>
        </w:rPr>
      </w:pPr>
      <w:r>
        <w:rPr>
          <w:rFonts w:hint="eastAsia" w:ascii="仿宋" w:hAnsi="仿宋" w:eastAsia="仿宋"/>
          <w:sz w:val="18"/>
          <w:szCs w:val="18"/>
        </w:rPr>
        <w:t>一、本开户合同书的甲方为投资者，乙方为本公司对应分支机构。</w:t>
      </w:r>
    </w:p>
    <w:p>
      <w:pPr>
        <w:spacing w:line="360" w:lineRule="auto"/>
        <w:ind w:firstLine="360" w:firstLineChars="200"/>
        <w:rPr>
          <w:rFonts w:ascii="仿宋" w:hAnsi="仿宋" w:eastAsia="仿宋"/>
          <w:sz w:val="18"/>
          <w:szCs w:val="18"/>
        </w:rPr>
      </w:pPr>
      <w:r>
        <w:rPr>
          <w:rFonts w:hint="eastAsia" w:ascii="仿宋" w:hAnsi="仿宋" w:eastAsia="仿宋"/>
          <w:sz w:val="18"/>
          <w:szCs w:val="18"/>
        </w:rPr>
        <w:t>二、</w:t>
      </w:r>
      <w:r>
        <w:rPr>
          <w:rFonts w:hint="eastAsia" w:ascii="仿宋" w:hAnsi="仿宋" w:eastAsia="仿宋"/>
          <w:b/>
          <w:sz w:val="18"/>
          <w:szCs w:val="18"/>
        </w:rPr>
        <w:t>为保护投资者自身的合法权益，请您务必选择以下方式签署本开户合同书：</w:t>
      </w:r>
    </w:p>
    <w:p>
      <w:pPr>
        <w:spacing w:line="360" w:lineRule="auto"/>
        <w:ind w:firstLine="360" w:firstLineChars="200"/>
        <w:rPr>
          <w:rFonts w:ascii="仿宋" w:hAnsi="仿宋" w:eastAsia="仿宋"/>
          <w:sz w:val="18"/>
          <w:szCs w:val="18"/>
        </w:rPr>
      </w:pPr>
      <w:r>
        <w:rPr>
          <w:rFonts w:hint="eastAsia" w:ascii="仿宋" w:hAnsi="仿宋" w:eastAsia="仿宋"/>
          <w:sz w:val="18"/>
          <w:szCs w:val="18"/>
        </w:rPr>
        <w:t>1、在本公司依法设立的分支机构经营场所临柜签署开户合同书（本公司所属分支机构可登录本公司网站</w:t>
      </w:r>
      <w:r>
        <w:fldChar w:fldCharType="begin"/>
      </w:r>
      <w:r>
        <w:instrText xml:space="preserve"> HYPERLINK "http://www.bocichina.com" </w:instrText>
      </w:r>
      <w:r>
        <w:fldChar w:fldCharType="separate"/>
      </w:r>
      <w:r>
        <w:rPr>
          <w:rStyle w:val="23"/>
          <w:rFonts w:hint="eastAsia" w:ascii="仿宋" w:hAnsi="仿宋" w:eastAsia="仿宋"/>
          <w:sz w:val="18"/>
          <w:szCs w:val="18"/>
        </w:rPr>
        <w:t>www.bocichina.com</w:t>
      </w:r>
      <w:r>
        <w:rPr>
          <w:rStyle w:val="23"/>
          <w:rFonts w:hint="eastAsia" w:ascii="仿宋" w:hAnsi="仿宋" w:eastAsia="仿宋"/>
          <w:sz w:val="18"/>
          <w:szCs w:val="18"/>
        </w:rPr>
        <w:fldChar w:fldCharType="end"/>
      </w:r>
      <w:r>
        <w:rPr>
          <w:rFonts w:hint="eastAsia" w:ascii="仿宋" w:hAnsi="仿宋" w:eastAsia="仿宋"/>
          <w:sz w:val="18"/>
          <w:szCs w:val="18"/>
        </w:rPr>
        <w:t>查询，谨防假冒！）；2、与拟开户的分支机构见证人员约定地点签署</w:t>
      </w:r>
      <w:bookmarkStart w:id="12" w:name="OLE_LINK1"/>
      <w:r>
        <w:rPr>
          <w:rFonts w:hint="eastAsia" w:ascii="仿宋" w:hAnsi="仿宋" w:eastAsia="仿宋"/>
          <w:sz w:val="18"/>
          <w:szCs w:val="18"/>
        </w:rPr>
        <w:t>本开户合同书</w:t>
      </w:r>
      <w:bookmarkEnd w:id="12"/>
      <w:r>
        <w:rPr>
          <w:rFonts w:hint="eastAsia" w:ascii="仿宋" w:hAnsi="仿宋" w:eastAsia="仿宋"/>
          <w:sz w:val="18"/>
          <w:szCs w:val="18"/>
        </w:rPr>
        <w:t>（可登录本公司网站查询验证见证人员）；3、通过本公司网上开户系统电子签署本开户合同书。</w:t>
      </w:r>
    </w:p>
    <w:p>
      <w:pPr>
        <w:spacing w:line="360" w:lineRule="auto"/>
        <w:ind w:firstLine="360" w:firstLineChars="200"/>
        <w:rPr>
          <w:rFonts w:ascii="仿宋" w:hAnsi="仿宋" w:eastAsia="仿宋"/>
          <w:sz w:val="18"/>
          <w:szCs w:val="18"/>
        </w:rPr>
      </w:pPr>
      <w:r>
        <w:rPr>
          <w:rFonts w:hint="eastAsia" w:ascii="仿宋" w:hAnsi="仿宋" w:eastAsia="仿宋"/>
          <w:sz w:val="18"/>
          <w:szCs w:val="18"/>
        </w:rPr>
        <w:t>三、</w:t>
      </w:r>
      <w:r>
        <w:rPr>
          <w:rFonts w:hint="eastAsia" w:ascii="仿宋" w:hAnsi="仿宋" w:eastAsia="仿宋"/>
          <w:b/>
          <w:sz w:val="18"/>
          <w:szCs w:val="18"/>
        </w:rPr>
        <w:t>本签署页签署后，即视为投资者已阅知并理解本开户合同书内各项协议及告知书、风险揭示书等文件的全部内容，同意遵守已开通委托方式、交易权限和交易品种等的相关约定，充分认识到相关告知和风险揭示书等文件所提示的风险，其效力等同于投资者在协议、告知书、风险揭示书等文件中的直接签字及</w:t>
      </w:r>
      <w:r>
        <w:rPr>
          <w:rFonts w:ascii="仿宋" w:hAnsi="仿宋" w:eastAsia="仿宋"/>
          <w:b/>
          <w:sz w:val="18"/>
          <w:szCs w:val="18"/>
        </w:rPr>
        <w:t>/</w:t>
      </w:r>
      <w:r>
        <w:rPr>
          <w:rFonts w:hint="eastAsia" w:ascii="仿宋" w:hAnsi="仿宋" w:eastAsia="仿宋"/>
          <w:b/>
          <w:sz w:val="18"/>
          <w:szCs w:val="18"/>
        </w:rPr>
        <w:t>或加盖公章。</w:t>
      </w:r>
    </w:p>
    <w:p>
      <w:pPr>
        <w:spacing w:line="360" w:lineRule="auto"/>
        <w:ind w:firstLine="360" w:firstLineChars="200"/>
        <w:rPr>
          <w:rFonts w:ascii="仿宋" w:hAnsi="仿宋" w:eastAsia="仿宋"/>
          <w:sz w:val="18"/>
          <w:szCs w:val="18"/>
        </w:rPr>
      </w:pPr>
      <w:r>
        <w:rPr>
          <w:rFonts w:hint="eastAsia" w:ascii="仿宋" w:hAnsi="仿宋" w:eastAsia="仿宋"/>
          <w:sz w:val="18"/>
          <w:szCs w:val="18"/>
        </w:rPr>
        <w:t>四、投资者的委托方式、交易权限和交易品种以实际开通的账户业务权限为准。对于融资融券、创业板、科创板、北交所、新三板、港股通、股票期权、风险警示板、两网及退市股票、公募REITs有适当性要求的债券投资等对投资者设置适当性准入条件的业务，只有符合规定条件的投资者方可另行申请并按规定的方式和流程签署办理。</w:t>
      </w:r>
    </w:p>
    <w:p>
      <w:pPr>
        <w:spacing w:line="360" w:lineRule="auto"/>
        <w:ind w:firstLine="360" w:firstLineChars="200"/>
        <w:rPr>
          <w:rFonts w:ascii="仿宋" w:hAnsi="仿宋" w:eastAsia="仿宋"/>
          <w:sz w:val="18"/>
          <w:szCs w:val="18"/>
        </w:rPr>
      </w:pPr>
      <w:r>
        <w:rPr>
          <w:rFonts w:hint="eastAsia" w:ascii="仿宋" w:hAnsi="仿宋" w:eastAsia="仿宋"/>
          <w:sz w:val="18"/>
          <w:szCs w:val="18"/>
        </w:rPr>
        <w:t>五、B股客户交易结算资金未实施第三方存管，《证券交易委托代理协议》中的资金存取条款暂不适用于B股资金存取。B股资金存取在实施第三方存管前按照乙方的有关规定办理。</w:t>
      </w:r>
    </w:p>
    <w:p>
      <w:pPr>
        <w:spacing w:line="360" w:lineRule="auto"/>
        <w:ind w:firstLine="360" w:firstLineChars="200"/>
        <w:rPr>
          <w:rFonts w:ascii="仿宋" w:hAnsi="仿宋" w:eastAsia="仿宋"/>
          <w:sz w:val="18"/>
          <w:szCs w:val="18"/>
        </w:rPr>
      </w:pPr>
      <w:r>
        <w:rPr>
          <w:rFonts w:hint="eastAsia" w:ascii="仿宋" w:hAnsi="仿宋" w:eastAsia="仿宋"/>
          <w:sz w:val="18"/>
          <w:szCs w:val="18"/>
        </w:rPr>
        <w:t>六、</w:t>
      </w:r>
      <w:r>
        <w:rPr>
          <w:rFonts w:hint="eastAsia" w:ascii="仿宋" w:hAnsi="仿宋" w:eastAsia="仿宋"/>
          <w:b/>
          <w:sz w:val="18"/>
          <w:szCs w:val="18"/>
        </w:rPr>
        <w:t>本开户合同书根据有关法律、法规、规章以及行业协会、证券交易所、证券登记结算机构等的交易规则和自律规则制定，若需修改或补充，调整的内容将由本公司及分支机构在公司网站、营业场所或客户端以公告形式通知甲方。甲方自公告发布之日起七个交易日内未提出异议的，调整后的内容自动生效。</w:t>
      </w:r>
    </w:p>
    <w:p>
      <w:pPr>
        <w:spacing w:line="360" w:lineRule="auto"/>
        <w:ind w:firstLine="360" w:firstLineChars="200"/>
        <w:rPr>
          <w:rFonts w:ascii="仿宋" w:hAnsi="仿宋" w:eastAsia="仿宋"/>
          <w:sz w:val="18"/>
          <w:szCs w:val="18"/>
        </w:rPr>
      </w:pPr>
      <w:r>
        <w:rPr>
          <w:rFonts w:hint="eastAsia" w:ascii="仿宋" w:hAnsi="仿宋" w:eastAsia="仿宋"/>
          <w:sz w:val="18"/>
          <w:szCs w:val="18"/>
        </w:rPr>
        <w:t>七、甲方签署本合同书后，还应填写乙方根据监管部门和自律组织的要求设计的开户申请等业务申请表，并在申请办理结果的凭证上签字确认，该等申请材料及相关业务凭证均是本合同书的组成部分。</w:t>
      </w:r>
    </w:p>
    <w:p>
      <w:pPr>
        <w:spacing w:line="360" w:lineRule="auto"/>
        <w:ind w:firstLine="360" w:firstLineChars="200"/>
        <w:rPr>
          <w:rFonts w:ascii="仿宋" w:hAnsi="仿宋" w:eastAsia="仿宋"/>
          <w:sz w:val="18"/>
          <w:szCs w:val="18"/>
        </w:rPr>
      </w:pPr>
      <w:r>
        <w:rPr>
          <w:rFonts w:hint="eastAsia" w:ascii="仿宋" w:hAnsi="仿宋" w:eastAsia="仿宋"/>
          <w:sz w:val="18"/>
          <w:szCs w:val="18"/>
        </w:rPr>
        <w:t>八、本合同书一式两份（适用于纸质签署），甲乙双方各执一份，具有同等法律效力。</w:t>
      </w:r>
    </w:p>
    <w:p>
      <w:pPr>
        <w:tabs>
          <w:tab w:val="left" w:pos="2282"/>
        </w:tabs>
        <w:spacing w:line="360" w:lineRule="auto"/>
        <w:rPr>
          <w:rFonts w:ascii="仿宋" w:hAnsi="仿宋" w:eastAsia="仿宋" w:cs="仿宋_GB2312"/>
          <w:b/>
          <w:sz w:val="24"/>
        </w:rPr>
      </w:pPr>
      <w:r>
        <w:rPr>
          <w:rFonts w:hint="eastAsia" w:ascii="仿宋" w:hAnsi="仿宋" w:eastAsia="仿宋" w:cs="仿宋_GB2312"/>
          <w:b/>
          <w:sz w:val="24"/>
        </w:rPr>
        <w:t>甲方：                                    乙方：</w:t>
      </w:r>
    </w:p>
    <w:p>
      <w:pPr>
        <w:tabs>
          <w:tab w:val="left" w:pos="2282"/>
        </w:tabs>
        <w:spacing w:line="360" w:lineRule="auto"/>
        <w:jc w:val="left"/>
        <w:rPr>
          <w:rFonts w:hint="default" w:ascii="仿宋" w:hAnsi="仿宋" w:eastAsia="仿宋" w:cs="仿宋_GB2312"/>
          <w:b/>
          <w:sz w:val="24"/>
          <w:lang w:val="en-US" w:eastAsia="zh-CN"/>
        </w:rPr>
      </w:pPr>
      <w:r>
        <w:rPr>
          <w:rFonts w:hint="eastAsia" w:ascii="仿宋" w:hAnsi="仿宋" w:eastAsia="仿宋" w:cs="仿宋_GB2312"/>
          <w:b/>
          <w:sz w:val="24"/>
        </w:rPr>
        <w:t xml:space="preserve">投资者（代理人）签字：                    </w:t>
      </w:r>
      <w:r>
        <w:rPr>
          <w:rFonts w:hint="eastAsia" w:ascii="仿宋" w:hAnsi="仿宋" w:eastAsia="仿宋" w:cs="仿宋_GB2312"/>
          <w:b/>
          <w:sz w:val="24"/>
          <w:u w:val="none"/>
        </w:rPr>
        <w:t>中银国际证券股份有限公</w:t>
      </w:r>
      <w:r>
        <w:rPr>
          <w:rFonts w:hint="eastAsia" w:ascii="仿宋" w:hAnsi="仿宋" w:eastAsia="仿宋" w:cs="仿宋_GB2312"/>
          <w:b/>
          <w:sz w:val="24"/>
          <w:u w:val="none"/>
          <w:lang w:val="en-US" w:eastAsia="zh-CN"/>
        </w:rPr>
        <w:t>司</w:t>
      </w:r>
      <w:r>
        <w:rPr>
          <w:rFonts w:hint="eastAsia" w:ascii="仿宋" w:hAnsi="仿宋" w:eastAsia="仿宋" w:cs="仿宋_GB2312"/>
          <w:b/>
          <w:sz w:val="24"/>
          <w:u w:val="single"/>
          <w:lang w:val="en-US" w:eastAsia="zh-CN"/>
        </w:rPr>
        <w:t xml:space="preserve">             </w:t>
      </w:r>
    </w:p>
    <w:p>
      <w:pPr>
        <w:tabs>
          <w:tab w:val="left" w:pos="2282"/>
        </w:tabs>
        <w:spacing w:line="360" w:lineRule="auto"/>
        <w:jc w:val="left"/>
        <w:rPr>
          <w:rFonts w:ascii="仿宋" w:hAnsi="仿宋" w:eastAsia="仿宋" w:cs="CTLaoSongSJ"/>
          <w:kern w:val="0"/>
          <w:sz w:val="20"/>
          <w:szCs w:val="20"/>
        </w:rPr>
      </w:pPr>
      <w:r>
        <w:rPr>
          <w:rFonts w:hint="eastAsia" w:ascii="仿宋" w:hAnsi="仿宋" w:eastAsia="仿宋" w:cs="仿宋_GB2312"/>
          <w:b/>
          <w:sz w:val="24"/>
        </w:rPr>
        <w:t>（非自然人客户纸质签署需加盖公章）</w:t>
      </w:r>
      <w:r>
        <w:rPr>
          <w:rFonts w:hint="eastAsia" w:ascii="仿宋" w:hAnsi="仿宋" w:eastAsia="仿宋" w:cs="CTLaoSongSJ"/>
          <w:kern w:val="0"/>
          <w:sz w:val="20"/>
          <w:szCs w:val="20"/>
        </w:rPr>
        <w:t xml:space="preserve">          </w:t>
      </w:r>
      <w:r>
        <w:rPr>
          <w:rFonts w:hint="eastAsia" w:ascii="仿宋" w:hAnsi="仿宋" w:eastAsia="仿宋" w:cs="仿宋_GB2312"/>
          <w:b/>
          <w:sz w:val="24"/>
        </w:rPr>
        <w:t xml:space="preserve">经办人：         复核人：      </w:t>
      </w:r>
      <w:r>
        <w:rPr>
          <w:rFonts w:hint="eastAsia" w:ascii="仿宋" w:hAnsi="仿宋" w:eastAsia="仿宋" w:cs="CTLaoSongSJ"/>
          <w:kern w:val="0"/>
          <w:sz w:val="20"/>
          <w:szCs w:val="20"/>
        </w:rPr>
        <w:t xml:space="preserve">      </w:t>
      </w:r>
    </w:p>
    <w:p>
      <w:pPr>
        <w:tabs>
          <w:tab w:val="left" w:pos="2282"/>
        </w:tabs>
        <w:spacing w:line="360" w:lineRule="auto"/>
        <w:jc w:val="left"/>
        <w:rPr>
          <w:rFonts w:ascii="仿宋" w:hAnsi="仿宋" w:eastAsia="仿宋"/>
        </w:rPr>
      </w:pPr>
      <w:r>
        <w:rPr>
          <w:rFonts w:hint="eastAsia" w:ascii="仿宋" w:hAnsi="仿宋" w:eastAsia="仿宋" w:cs="仿宋_GB2312"/>
          <w:b/>
          <w:sz w:val="24"/>
        </w:rPr>
        <w:t>签署日期：</w:t>
      </w:r>
      <w:r>
        <w:rPr>
          <w:rFonts w:hint="eastAsia" w:ascii="仿宋" w:hAnsi="仿宋" w:eastAsia="仿宋"/>
        </w:rPr>
        <w:t xml:space="preserve">                                     </w:t>
      </w:r>
      <w:r>
        <w:rPr>
          <w:rFonts w:hint="eastAsia" w:ascii="仿宋" w:hAnsi="仿宋" w:eastAsia="仿宋" w:cs="仿宋_GB2312"/>
          <w:b/>
          <w:sz w:val="24"/>
        </w:rPr>
        <w:t>签署日期：</w:t>
      </w:r>
      <w:r>
        <w:rPr>
          <w:rFonts w:ascii="仿宋" w:hAnsi="仿宋" w:eastAsia="仿宋"/>
        </w:rPr>
        <w:br w:type="page"/>
      </w:r>
    </w:p>
    <w:p>
      <w:pPr>
        <w:pStyle w:val="19"/>
        <w:numPr>
          <w:ilvl w:val="0"/>
          <w:numId w:val="1"/>
        </w:numPr>
        <w:rPr>
          <w:rFonts w:hint="eastAsia" w:ascii="仿宋" w:hAnsi="仿宋" w:eastAsia="仿宋" w:cstheme="majorBidi"/>
          <w:kern w:val="0"/>
          <w:sz w:val="32"/>
          <w:szCs w:val="32"/>
        </w:rPr>
      </w:pPr>
      <w:bookmarkStart w:id="13" w:name="_Toc2738"/>
      <w:bookmarkStart w:id="14" w:name="_Toc11310"/>
      <w:bookmarkStart w:id="15" w:name="_Toc1366"/>
      <w:bookmarkStart w:id="16" w:name="_Toc22220"/>
      <w:bookmarkStart w:id="17" w:name="_Toc13639"/>
      <w:bookmarkStart w:id="18" w:name="_Toc20682"/>
      <w:bookmarkStart w:id="19" w:name="_Toc642"/>
      <w:bookmarkStart w:id="20" w:name="_Toc22013"/>
      <w:bookmarkStart w:id="21" w:name="_Toc25360"/>
      <w:bookmarkStart w:id="22" w:name="_Toc24136"/>
      <w:bookmarkStart w:id="23" w:name="_Toc8157"/>
      <w:r>
        <w:rPr>
          <w:rFonts w:hint="eastAsia" w:ascii="仿宋" w:hAnsi="仿宋" w:eastAsia="仿宋" w:cstheme="majorBidi"/>
          <w:kern w:val="0"/>
          <w:sz w:val="32"/>
          <w:szCs w:val="32"/>
        </w:rPr>
        <w:t>客户须知</w:t>
      </w:r>
      <w:bookmarkEnd w:id="13"/>
      <w:bookmarkEnd w:id="14"/>
      <w:bookmarkEnd w:id="15"/>
      <w:bookmarkEnd w:id="16"/>
      <w:bookmarkEnd w:id="17"/>
      <w:bookmarkEnd w:id="18"/>
      <w:bookmarkEnd w:id="19"/>
      <w:bookmarkEnd w:id="20"/>
      <w:bookmarkEnd w:id="21"/>
      <w:bookmarkEnd w:id="22"/>
      <w:bookmarkEnd w:id="23"/>
    </w:p>
    <w:p>
      <w:pPr>
        <w:adjustRightInd w:val="0"/>
        <w:snapToGrid w:val="0"/>
        <w:spacing w:line="360" w:lineRule="auto"/>
        <w:rPr>
          <w:rFonts w:ascii="仿宋_GB2312" w:hAnsi="仿宋_GB2312" w:eastAsia="仿宋_GB2312" w:cs="仿宋_GB2312"/>
          <w:sz w:val="24"/>
        </w:rPr>
      </w:pPr>
      <w:r>
        <w:rPr>
          <w:rFonts w:hint="eastAsia" w:ascii="仿宋_GB2312" w:hAnsi="仿宋_GB2312" w:eastAsia="仿宋_GB2312" w:cs="仿宋_GB2312"/>
          <w:sz w:val="24"/>
        </w:rPr>
        <w:t>尊敬的客户：</w:t>
      </w:r>
    </w:p>
    <w:p>
      <w:pPr>
        <w:adjustRightInd w:val="0"/>
        <w:snapToGrid w:val="0"/>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当您投资金融市场的时候，请您务必了解以下事项：</w:t>
      </w:r>
    </w:p>
    <w:p>
      <w:pPr>
        <w:adjustRightInd w:val="0"/>
        <w:snapToGrid w:val="0"/>
        <w:spacing w:line="360" w:lineRule="auto"/>
        <w:ind w:firstLine="482" w:firstLineChars="200"/>
        <w:rPr>
          <w:rFonts w:ascii="仿宋_GB2312" w:hAnsi="仿宋_GB2312" w:eastAsia="仿宋_GB2312" w:cs="仿宋_GB2312"/>
          <w:bCs/>
          <w:sz w:val="24"/>
        </w:rPr>
      </w:pPr>
      <w:r>
        <w:rPr>
          <w:rFonts w:hint="eastAsia" w:ascii="仿宋_GB2312" w:hAnsi="仿宋_GB2312" w:eastAsia="仿宋_GB2312" w:cs="仿宋_GB2312"/>
          <w:b/>
          <w:sz w:val="24"/>
        </w:rPr>
        <w:t>一、充分知晓金融市场法规知识</w:t>
      </w:r>
    </w:p>
    <w:p>
      <w:pPr>
        <w:adjustRightInd w:val="0"/>
        <w:snapToGrid w:val="0"/>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bCs/>
          <w:sz w:val="24"/>
        </w:rPr>
        <w:t>当您自愿向证券公司申请开立客户账户时，应充分知晓并遵守国家有关法律法规、监管规定、自律规则等相关规定。如您委托他人代理开立客户账户的，代理人也应了解并遵守国家有关法律法规、监管规定、自律规则等相关规定。</w:t>
      </w:r>
    </w:p>
    <w:p>
      <w:pPr>
        <w:adjustRightInd w:val="0"/>
        <w:snapToGrid w:val="0"/>
        <w:spacing w:line="360" w:lineRule="auto"/>
        <w:ind w:firstLine="482" w:firstLineChars="200"/>
        <w:rPr>
          <w:rFonts w:ascii="仿宋_GB2312" w:hAnsi="仿宋_GB2312" w:eastAsia="仿宋_GB2312" w:cs="仿宋_GB2312"/>
          <w:b/>
          <w:sz w:val="24"/>
        </w:rPr>
      </w:pPr>
      <w:r>
        <w:rPr>
          <w:rFonts w:hint="eastAsia" w:ascii="仿宋_GB2312" w:hAnsi="仿宋_GB2312" w:eastAsia="仿宋_GB2312" w:cs="仿宋_GB2312"/>
          <w:b/>
          <w:sz w:val="24"/>
        </w:rPr>
        <w:t>二、审慎选择合法的证券公司及其分支机构</w:t>
      </w:r>
    </w:p>
    <w:p>
      <w:pPr>
        <w:snapToGrid w:val="0"/>
        <w:spacing w:line="360" w:lineRule="auto"/>
        <w:ind w:firstLine="480" w:firstLineChars="200"/>
        <w:rPr>
          <w:rFonts w:ascii="仿宋_GB2312" w:hAnsi="仿宋_GB2312" w:eastAsia="仿宋_GB2312" w:cs="仿宋_GB2312"/>
          <w:kern w:val="0"/>
          <w:sz w:val="24"/>
        </w:rPr>
      </w:pPr>
      <w:r>
        <w:rPr>
          <w:rFonts w:hint="eastAsia" w:ascii="仿宋_GB2312" w:hAnsi="仿宋_GB2312" w:eastAsia="仿宋_GB2312" w:cs="仿宋_GB2312"/>
          <w:kern w:val="0"/>
          <w:sz w:val="24"/>
        </w:rPr>
        <w:t>当您准备进行证券交易等金融投资时，请与合法的证券公司分支机构签订客户账户开户协议以及其他业务协议等，您可通过中国证券业协会（以下简称“协会”）网站（</w:t>
      </w:r>
      <w:r>
        <w:fldChar w:fldCharType="begin"/>
      </w:r>
      <w:r>
        <w:instrText xml:space="preserve"> HYPERLINK "http://www.sac.net.cn）进行" </w:instrText>
      </w:r>
      <w:r>
        <w:fldChar w:fldCharType="separate"/>
      </w:r>
      <w:r>
        <w:rPr>
          <w:rFonts w:hint="eastAsia" w:ascii="仿宋_GB2312" w:hAnsi="仿宋_GB2312" w:eastAsia="仿宋_GB2312" w:cs="仿宋_GB2312"/>
          <w:kern w:val="0"/>
          <w:sz w:val="24"/>
        </w:rPr>
        <w:t>www.sac.net.cn）</w:t>
      </w:r>
      <w:r>
        <w:rPr>
          <w:rFonts w:hint="eastAsia" w:ascii="仿宋_GB2312" w:hAnsi="仿宋_GB2312" w:eastAsia="仿宋_GB2312" w:cs="仿宋_GB2312"/>
          <w:kern w:val="0"/>
          <w:sz w:val="24"/>
        </w:rPr>
        <w:fldChar w:fldCharType="end"/>
      </w:r>
      <w:r>
        <w:rPr>
          <w:rFonts w:hint="eastAsia" w:ascii="仿宋_GB2312" w:hAnsi="仿宋_GB2312" w:eastAsia="仿宋_GB2312" w:cs="仿宋_GB2312"/>
          <w:kern w:val="0"/>
          <w:sz w:val="24"/>
        </w:rPr>
        <w:t>查询有关合法证券公司及其分支机构和证券从业人员的信息，并通过国家企业信用信息公示系统查询开户分支机构及所属证券公司经营范围。</w:t>
      </w:r>
    </w:p>
    <w:p>
      <w:pPr>
        <w:adjustRightInd w:val="0"/>
        <w:snapToGrid w:val="0"/>
        <w:spacing w:line="360" w:lineRule="auto"/>
        <w:ind w:firstLine="482" w:firstLineChars="200"/>
        <w:jc w:val="left"/>
        <w:rPr>
          <w:rFonts w:ascii="仿宋_GB2312" w:hAnsi="仿宋_GB2312" w:eastAsia="仿宋_GB2312" w:cs="仿宋_GB2312"/>
          <w:b/>
          <w:sz w:val="24"/>
        </w:rPr>
      </w:pPr>
      <w:r>
        <w:rPr>
          <w:rFonts w:hint="eastAsia" w:ascii="仿宋_GB2312" w:hAnsi="仿宋_GB2312" w:eastAsia="仿宋_GB2312" w:cs="仿宋_GB2312"/>
          <w:b/>
          <w:sz w:val="24"/>
        </w:rPr>
        <w:t>三、严格遵守账户实名制规定</w:t>
      </w:r>
    </w:p>
    <w:p>
      <w:pPr>
        <w:adjustRightInd w:val="0"/>
        <w:snapToGrid w:val="0"/>
        <w:spacing w:line="360" w:lineRule="auto"/>
        <w:ind w:firstLine="480" w:firstLineChars="200"/>
        <w:rPr>
          <w:rFonts w:ascii="仿宋_GB2312" w:hAnsi="仿宋_GB2312" w:eastAsia="仿宋_GB2312" w:cs="仿宋_GB2312"/>
          <w:kern w:val="0"/>
          <w:sz w:val="24"/>
        </w:rPr>
      </w:pPr>
      <w:r>
        <w:rPr>
          <w:rFonts w:hint="eastAsia" w:ascii="仿宋_GB2312" w:hAnsi="仿宋_GB2312" w:eastAsia="仿宋_GB2312" w:cs="仿宋_GB2312"/>
          <w:kern w:val="0"/>
          <w:sz w:val="24"/>
        </w:rPr>
        <w:t>当您开立客户账户时，应当出示您真实有效的身份证明文件，严格遵守账户实名制相关规定，保证开户资料信息真实、准确、完整、有效，保证资金来源合法。证券公司如发现您涉嫌违规借用他人账户或将本人账户违规提供给他人使用的，有权根据实际情况对您的账户采取包括但不限于限制买入、限制资金转出、限制转托管、限制撤销指定交易、暂停办理新业务等措施，甚至暂停或终止与您的证券交易委托代理关系。</w:t>
      </w:r>
    </w:p>
    <w:p>
      <w:pPr>
        <w:adjustRightInd w:val="0"/>
        <w:snapToGrid w:val="0"/>
        <w:spacing w:line="360" w:lineRule="auto"/>
        <w:ind w:firstLine="480" w:firstLineChars="200"/>
        <w:rPr>
          <w:rFonts w:ascii="仿宋_GB2312" w:hAnsi="仿宋_GB2312" w:eastAsia="仿宋_GB2312" w:cs="仿宋_GB2312"/>
          <w:kern w:val="0"/>
          <w:sz w:val="24"/>
        </w:rPr>
      </w:pPr>
      <w:r>
        <w:rPr>
          <w:rFonts w:hint="eastAsia" w:ascii="仿宋_GB2312" w:hAnsi="仿宋_GB2312" w:eastAsia="仿宋_GB2312" w:cs="仿宋_GB2312"/>
          <w:kern w:val="0"/>
          <w:sz w:val="24"/>
        </w:rPr>
        <w:t>如您的身份信息发生变更，您应当及时与所委托的证券公司分支机构联系并进行变更。</w:t>
      </w:r>
    </w:p>
    <w:p>
      <w:pPr>
        <w:adjustRightInd w:val="0"/>
        <w:snapToGrid w:val="0"/>
        <w:spacing w:line="360" w:lineRule="auto"/>
        <w:ind w:firstLine="482" w:firstLineChars="200"/>
        <w:rPr>
          <w:rFonts w:ascii="仿宋_GB2312" w:hAnsi="仿宋_GB2312" w:eastAsia="仿宋_GB2312" w:cs="仿宋_GB2312"/>
          <w:b/>
          <w:bCs/>
          <w:sz w:val="24"/>
        </w:rPr>
      </w:pPr>
      <w:r>
        <w:rPr>
          <w:rFonts w:hint="eastAsia" w:ascii="仿宋_GB2312" w:hAnsi="仿宋_GB2312" w:eastAsia="仿宋_GB2312" w:cs="仿宋_GB2312"/>
          <w:b/>
          <w:bCs/>
          <w:sz w:val="24"/>
        </w:rPr>
        <w:t>四、严禁参与洗钱及恐怖融资活动</w:t>
      </w:r>
    </w:p>
    <w:p>
      <w:pPr>
        <w:adjustRightInd w:val="0"/>
        <w:snapToGrid w:val="0"/>
        <w:spacing w:line="360" w:lineRule="auto"/>
        <w:ind w:firstLine="480" w:firstLineChars="200"/>
        <w:rPr>
          <w:rFonts w:ascii="仿宋_GB2312" w:hAnsi="仿宋_GB2312" w:eastAsia="仿宋_GB2312" w:cs="仿宋_GB2312"/>
          <w:kern w:val="0"/>
          <w:sz w:val="24"/>
        </w:rPr>
      </w:pPr>
      <w:r>
        <w:rPr>
          <w:rFonts w:hint="eastAsia" w:ascii="仿宋_GB2312" w:hAnsi="仿宋_GB2312" w:eastAsia="仿宋_GB2312" w:cs="仿宋_GB2312"/>
          <w:kern w:val="0"/>
          <w:sz w:val="24"/>
        </w:rPr>
        <w:t>根据《反洗钱法》有关规定，任何单位和个人都应当依法配合金融机构为履行反洗钱义务开展的客户尽职调查工作，请您按规定登记您的身份基本信息，及时更新真实有效身份证件或者其他身份证明文件的复印件或者影印件，配合金融机构核查身份背景、资金来源和用途、经济状况或经营状况，以便我们了解您建立业务关系和交易的目的和性质。</w:t>
      </w:r>
    </w:p>
    <w:p>
      <w:pPr>
        <w:adjustRightInd w:val="0"/>
        <w:snapToGrid w:val="0"/>
        <w:spacing w:line="360" w:lineRule="auto"/>
        <w:ind w:firstLine="480" w:firstLineChars="200"/>
        <w:rPr>
          <w:rFonts w:ascii="仿宋_GB2312" w:hAnsi="仿宋_GB2312" w:eastAsia="仿宋_GB2312" w:cs="仿宋_GB2312"/>
          <w:kern w:val="0"/>
          <w:sz w:val="24"/>
        </w:rPr>
      </w:pPr>
      <w:r>
        <w:rPr>
          <w:rFonts w:hint="eastAsia" w:ascii="仿宋_GB2312" w:hAnsi="仿宋_GB2312" w:eastAsia="仿宋_GB2312" w:cs="仿宋_GB2312"/>
          <w:kern w:val="0"/>
          <w:sz w:val="24"/>
        </w:rPr>
        <w:t>如您未真实、准确、完整、有效提供相关信息，或者证券公司有合理理由怀疑您先前提交的证件信息、职业、地址、联系方式等身份资料不真实、不完整、不准确或无效的，或您因信息变更不再符合协会和中国证券登记结算有限责任公司等账户开户条件的，亦或您先前提交的身份证明文件已过有效期或失效，未在合理期限内更新且未提出合理理由的，证券公司有权对您的账户采取包括但不限于限制买入、限制资金转出、限制转托管、限制撤销指定交易、暂停办理新业务等限制措施，甚至暂停或终止与您的证券交易委托代理关系。</w:t>
      </w:r>
    </w:p>
    <w:p>
      <w:pPr>
        <w:adjustRightInd w:val="0"/>
        <w:snapToGrid w:val="0"/>
        <w:spacing w:line="360" w:lineRule="auto"/>
        <w:ind w:firstLine="480" w:firstLineChars="200"/>
        <w:rPr>
          <w:rFonts w:ascii="仿宋_GB2312" w:hAnsi="仿宋_GB2312" w:eastAsia="仿宋_GB2312" w:cs="仿宋_GB2312"/>
          <w:kern w:val="0"/>
          <w:sz w:val="24"/>
        </w:rPr>
      </w:pPr>
      <w:r>
        <w:rPr>
          <w:rFonts w:hint="eastAsia" w:ascii="仿宋_GB2312" w:hAnsi="仿宋_GB2312" w:eastAsia="仿宋_GB2312" w:cs="仿宋_GB2312"/>
          <w:kern w:val="0"/>
          <w:sz w:val="24"/>
        </w:rPr>
        <w:t>如证券公司发现或有合理理由怀疑您的账户、资产或交易与洗钱、恐怖融资等犯罪活动相关，证券公司将依法履行报告义务，并有权在合理评估基础上采取适当的后续控制措施，包括但不限于限制买入、限制资金转出、限制转托管、限制撤销指定交易、暂停办理新业务、暂停或终止与您的证券交易委托代理关系。</w:t>
      </w:r>
    </w:p>
    <w:p>
      <w:pPr>
        <w:adjustRightInd w:val="0"/>
        <w:snapToGrid w:val="0"/>
        <w:spacing w:line="360" w:lineRule="auto"/>
        <w:ind w:firstLine="482" w:firstLineChars="200"/>
        <w:rPr>
          <w:rFonts w:ascii="仿宋_GB2312" w:hAnsi="仿宋_GB2312" w:eastAsia="仿宋_GB2312" w:cs="仿宋_GB2312"/>
          <w:b/>
          <w:bCs/>
          <w:sz w:val="24"/>
        </w:rPr>
      </w:pPr>
      <w:r>
        <w:rPr>
          <w:rFonts w:hint="eastAsia" w:ascii="仿宋_GB2312" w:hAnsi="仿宋_GB2312" w:eastAsia="仿宋_GB2312" w:cs="仿宋_GB2312"/>
          <w:b/>
          <w:bCs/>
          <w:sz w:val="24"/>
        </w:rPr>
        <w:t>五、妥善保管身份信息、账户信息、账户密码</w:t>
      </w:r>
    </w:p>
    <w:p>
      <w:pPr>
        <w:adjustRightInd w:val="0"/>
        <w:snapToGrid w:val="0"/>
        <w:spacing w:line="360" w:lineRule="auto"/>
        <w:ind w:firstLine="480" w:firstLineChars="20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为确保您账户的安全性，我们特此提醒您，在申请开立客户账户时，您应自行设置相关密码，避免使用简单的字符组合或本人姓名、生日、电话号码等相关信息作为密码，并建议您采取定期修改密码、输入密码时注意遮挡等措施，防止计算机或手机等网上交易终端感染木马、病毒，避免被恶意程序窃取密码。您应妥善保管身份信息、账户信息、账户密码等，不得将相关信息提供或告知他人使用（包括证券公司工作人员）。</w:t>
      </w:r>
    </w:p>
    <w:p>
      <w:pPr>
        <w:adjustRightInd w:val="0"/>
        <w:snapToGrid w:val="0"/>
        <w:spacing w:line="360" w:lineRule="auto"/>
        <w:ind w:firstLine="480" w:firstLineChars="20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 xml:space="preserve">由于您对自己身份信息、账户信息、账户密码的泄露、管理不当或使用不当造成的后果、风险和损失，将由您自行承担。 </w:t>
      </w:r>
    </w:p>
    <w:p>
      <w:pPr>
        <w:adjustRightInd w:val="0"/>
        <w:snapToGrid w:val="0"/>
        <w:spacing w:line="360" w:lineRule="auto"/>
        <w:ind w:firstLine="482" w:firstLineChars="200"/>
        <w:jc w:val="left"/>
        <w:rPr>
          <w:rFonts w:ascii="仿宋_GB2312" w:hAnsi="仿宋_GB2312" w:eastAsia="仿宋_GB2312" w:cs="仿宋_GB2312"/>
          <w:b/>
          <w:bCs/>
          <w:sz w:val="24"/>
        </w:rPr>
      </w:pPr>
      <w:r>
        <w:rPr>
          <w:rFonts w:hint="eastAsia" w:ascii="仿宋_GB2312" w:hAnsi="仿宋_GB2312" w:eastAsia="仿宋_GB2312" w:cs="仿宋_GB2312"/>
          <w:b/>
          <w:bCs/>
          <w:sz w:val="24"/>
        </w:rPr>
        <w:t>六、选择适当的金融产品或服务</w:t>
      </w:r>
    </w:p>
    <w:p>
      <w:pPr>
        <w:adjustRightInd w:val="0"/>
        <w:snapToGrid w:val="0"/>
        <w:spacing w:line="360" w:lineRule="auto"/>
        <w:ind w:firstLine="480" w:firstLineChars="20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金融市场中可供投资的产品或选择的服务有很多，其特点、潜在风险、交易或参与规则也有很大不同，请您了解自己的风险承受能力，尽量选择相对熟悉的、与自己风险承受能力匹配的金融产品或服务。在投资产品或接受服务之前，请您务必详细了解该产品或服务的特点、潜在的风险、交易或参与规则，由于您投资决策而引起的损失将由您自行承担。</w:t>
      </w:r>
    </w:p>
    <w:p>
      <w:pPr>
        <w:adjustRightInd w:val="0"/>
        <w:snapToGrid w:val="0"/>
        <w:spacing w:line="360" w:lineRule="auto"/>
        <w:ind w:firstLine="480" w:firstLineChars="200"/>
        <w:jc w:val="left"/>
        <w:rPr>
          <w:rFonts w:ascii="仿宋_GB2312" w:hAnsi="仿宋_GB2312" w:eastAsia="仿宋_GB2312" w:cs="仿宋_GB2312"/>
          <w:strike/>
          <w:kern w:val="0"/>
          <w:sz w:val="24"/>
        </w:rPr>
      </w:pPr>
      <w:r>
        <w:rPr>
          <w:rFonts w:hint="eastAsia" w:ascii="仿宋_GB2312" w:hAnsi="仿宋_GB2312" w:eastAsia="仿宋_GB2312" w:cs="仿宋_GB2312"/>
          <w:kern w:val="0"/>
          <w:sz w:val="24"/>
        </w:rPr>
        <w:t>证券公司认为您参与特定交易不适当，或者无法判断是否适当的，可以拒绝提供相关服务。若您不符合中国证监会、自律组织或证券公司针对特定市场、产品、交易规定的投资者准入要求，证券公司无法为您提供相关服务。</w:t>
      </w:r>
    </w:p>
    <w:p>
      <w:pPr>
        <w:adjustRightInd w:val="0"/>
        <w:snapToGrid w:val="0"/>
        <w:spacing w:line="360" w:lineRule="auto"/>
        <w:ind w:firstLine="480" w:firstLineChars="20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此外，除依法代销经国家有关部门或者其授权机构批准或者备案的在境内发行并允许代销的各类金融产品外，证券公司不会授权任何机构（包括证券公司分支机构）或个人（包括证券公司工作人员）擅自销售金融产品。因此，在购买金融产品时，请您核实该产品的合法性，不要私下与证券公司工作人员签署协议或向其交付资金。</w:t>
      </w:r>
    </w:p>
    <w:p>
      <w:pPr>
        <w:adjustRightInd w:val="0"/>
        <w:snapToGrid w:val="0"/>
        <w:spacing w:line="360" w:lineRule="auto"/>
        <w:ind w:firstLine="482" w:firstLineChars="200"/>
        <w:jc w:val="left"/>
        <w:rPr>
          <w:rFonts w:ascii="仿宋_GB2312" w:hAnsi="仿宋_GB2312" w:eastAsia="仿宋_GB2312" w:cs="仿宋_GB2312"/>
          <w:sz w:val="24"/>
        </w:rPr>
      </w:pPr>
      <w:r>
        <w:rPr>
          <w:rFonts w:hint="eastAsia" w:ascii="仿宋_GB2312" w:hAnsi="仿宋_GB2312" w:eastAsia="仿宋_GB2312" w:cs="仿宋_GB2312"/>
          <w:b/>
          <w:bCs/>
          <w:sz w:val="24"/>
        </w:rPr>
        <w:t>七、选择熟悉的委托方式</w:t>
      </w:r>
    </w:p>
    <w:p>
      <w:pPr>
        <w:adjustRightInd w:val="0"/>
        <w:snapToGrid w:val="0"/>
        <w:spacing w:line="360" w:lineRule="auto"/>
        <w:ind w:firstLine="480" w:firstLineChars="200"/>
        <w:rPr>
          <w:rFonts w:ascii="仿宋_GB2312" w:hAnsi="仿宋_GB2312" w:eastAsia="仿宋_GB2312" w:cs="仿宋_GB2312"/>
          <w:kern w:val="0"/>
          <w:sz w:val="24"/>
        </w:rPr>
      </w:pPr>
      <w:r>
        <w:rPr>
          <w:rFonts w:hint="eastAsia" w:ascii="仿宋_GB2312" w:hAnsi="仿宋_GB2312" w:eastAsia="仿宋_GB2312" w:cs="仿宋_GB2312"/>
          <w:kern w:val="0"/>
          <w:sz w:val="24"/>
        </w:rPr>
        <w:t>证券公司为您提供的委托方式有柜台、自助以及您与证券公司约定的其他合法委托方式。其中，自助方式包括网上委托、电话委托、热键委托等，具体委托方式以实际开通为准。请您尽量选择自己相对熟悉的委托方式，并建议您开通两种以上委托方式。请您详细了解各种委托方式的具体操作步骤，由于您操作不当而引起的损失将由您自行承担。对于通过互联网进行操作的方式，您应特别防范网络中断、黑客攻击、病毒感染等风险，避免造成损失。</w:t>
      </w:r>
    </w:p>
    <w:p>
      <w:pPr>
        <w:adjustRightInd w:val="0"/>
        <w:snapToGrid w:val="0"/>
        <w:spacing w:line="360" w:lineRule="auto"/>
        <w:ind w:firstLine="482" w:firstLineChars="200"/>
        <w:jc w:val="left"/>
        <w:rPr>
          <w:rFonts w:ascii="仿宋_GB2312" w:hAnsi="仿宋_GB2312" w:eastAsia="仿宋_GB2312" w:cs="仿宋_GB2312"/>
          <w:b/>
          <w:sz w:val="24"/>
        </w:rPr>
      </w:pPr>
      <w:r>
        <w:rPr>
          <w:rFonts w:hint="eastAsia" w:ascii="仿宋_GB2312" w:hAnsi="仿宋_GB2312" w:eastAsia="仿宋_GB2312" w:cs="仿宋_GB2312"/>
          <w:b/>
          <w:sz w:val="24"/>
        </w:rPr>
        <w:t>八、切勿全权委托投资</w:t>
      </w:r>
    </w:p>
    <w:p>
      <w:pPr>
        <w:adjustRightInd w:val="0"/>
        <w:snapToGrid w:val="0"/>
        <w:spacing w:line="360" w:lineRule="auto"/>
        <w:ind w:firstLine="480" w:firstLineChars="20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证券公司不会授权任何机构（包括证券公司分支机构）或个人（包括证券公司工作人员）接受您的全权委托。建议您注意保护自身合法权益，不要与任何机构或个人签订全权委托投资协议、约定承诺收益或赔偿损失，或将账户全权委托、私下委托证券公司工作人员操作，否则由此引发的一切后果、风险和损失将由您本人自行承担。</w:t>
      </w:r>
    </w:p>
    <w:p>
      <w:pPr>
        <w:tabs>
          <w:tab w:val="left" w:pos="4500"/>
        </w:tabs>
        <w:spacing w:line="336" w:lineRule="auto"/>
        <w:ind w:firstLine="482" w:firstLineChars="200"/>
        <w:rPr>
          <w:rFonts w:ascii="仿宋_GB2312" w:hAnsi="仿宋_GB2312" w:eastAsia="仿宋_GB2312" w:cs="仿宋_GB2312"/>
          <w:b/>
          <w:bCs/>
          <w:sz w:val="24"/>
        </w:rPr>
      </w:pPr>
      <w:r>
        <w:rPr>
          <w:rFonts w:hint="eastAsia" w:ascii="仿宋_GB2312" w:hAnsi="仿宋_GB2312" w:eastAsia="仿宋_GB2312" w:cs="仿宋_GB2312"/>
          <w:b/>
          <w:bCs/>
          <w:sz w:val="24"/>
        </w:rPr>
        <w:t>九、防范信息欺诈</w:t>
      </w:r>
    </w:p>
    <w:p>
      <w:pPr>
        <w:tabs>
          <w:tab w:val="left" w:pos="4500"/>
        </w:tabs>
        <w:spacing w:line="336" w:lineRule="auto"/>
        <w:ind w:firstLine="480" w:firstLineChars="200"/>
        <w:rPr>
          <w:rFonts w:ascii="仿宋_GB2312" w:hAnsi="仿宋_GB2312" w:eastAsia="仿宋_GB2312" w:cs="仿宋_GB2312"/>
          <w:kern w:val="0"/>
          <w:sz w:val="24"/>
        </w:rPr>
      </w:pPr>
      <w:r>
        <w:rPr>
          <w:rFonts w:hint="eastAsia" w:ascii="仿宋_GB2312" w:hAnsi="仿宋_GB2312" w:eastAsia="仿宋_GB2312" w:cs="仿宋_GB2312"/>
          <w:kern w:val="0"/>
          <w:sz w:val="24"/>
        </w:rPr>
        <w:t>为保障您个人财产的安全，我们特此提醒您防范信息欺诈，不得将账户相关信息提供或告知他人使用，不得点击未经核实的开户链接，不得将个人财产转至证券公司工作人员个人账户或其他未经核实的收款账户，避免下载安装未经核实或存在安全隐患的应用程序，您应当注意保护自身信息安全，提高自我防范意识。</w:t>
      </w:r>
    </w:p>
    <w:p>
      <w:pPr>
        <w:tabs>
          <w:tab w:val="left" w:pos="4500"/>
        </w:tabs>
        <w:spacing w:line="336" w:lineRule="auto"/>
        <w:ind w:firstLine="482" w:firstLineChars="200"/>
        <w:rPr>
          <w:rFonts w:ascii="仿宋_GB2312" w:hAnsi="仿宋_GB2312" w:eastAsia="仿宋_GB2312" w:cs="仿宋_GB2312"/>
          <w:b/>
          <w:kern w:val="0"/>
          <w:sz w:val="24"/>
        </w:rPr>
      </w:pPr>
      <w:r>
        <w:rPr>
          <w:rFonts w:hint="eastAsia" w:ascii="仿宋_GB2312" w:hAnsi="仿宋_GB2312" w:eastAsia="仿宋_GB2312" w:cs="仿宋_GB2312"/>
          <w:b/>
          <w:kern w:val="0"/>
          <w:sz w:val="24"/>
        </w:rPr>
        <w:t>十、防范非法证券活动</w:t>
      </w:r>
    </w:p>
    <w:p>
      <w:pPr>
        <w:tabs>
          <w:tab w:val="left" w:pos="4500"/>
        </w:tabs>
        <w:spacing w:line="336" w:lineRule="auto"/>
        <w:ind w:firstLine="480" w:firstLineChars="200"/>
        <w:rPr>
          <w:rFonts w:ascii="仿宋_GB2312" w:hAnsi="仿宋_GB2312" w:eastAsia="仿宋_GB2312" w:cs="仿宋_GB2312"/>
          <w:kern w:val="0"/>
          <w:sz w:val="24"/>
        </w:rPr>
      </w:pPr>
      <w:r>
        <w:rPr>
          <w:rFonts w:hint="eastAsia" w:ascii="仿宋_GB2312" w:hAnsi="仿宋_GB2312" w:eastAsia="仿宋_GB2312" w:cs="仿宋_GB2312"/>
          <w:kern w:val="0"/>
          <w:sz w:val="24"/>
        </w:rPr>
        <w:t>参与非法证券活动，不受法律保护。您应树立正确的投资理念，警惕非法证券活动陷阱，远离非法证券活动，保护自身合法权益。</w:t>
      </w:r>
    </w:p>
    <w:p>
      <w:pPr>
        <w:tabs>
          <w:tab w:val="left" w:pos="4500"/>
        </w:tabs>
        <w:spacing w:line="336" w:lineRule="auto"/>
        <w:ind w:firstLine="482" w:firstLineChars="200"/>
        <w:rPr>
          <w:rFonts w:ascii="仿宋_GB2312" w:hAnsi="仿宋_GB2312" w:eastAsia="仿宋_GB2312" w:cs="仿宋_GB2312"/>
          <w:b/>
          <w:sz w:val="24"/>
        </w:rPr>
      </w:pPr>
      <w:r>
        <w:rPr>
          <w:rFonts w:hint="eastAsia" w:ascii="仿宋_GB2312" w:hAnsi="仿宋_GB2312" w:eastAsia="仿宋_GB2312" w:cs="仿宋_GB2312"/>
          <w:b/>
          <w:bCs/>
          <w:sz w:val="24"/>
        </w:rPr>
        <w:t>十一、证券公司客户投诉方式</w:t>
      </w:r>
    </w:p>
    <w:p>
      <w:pPr>
        <w:tabs>
          <w:tab w:val="left" w:pos="4500"/>
        </w:tabs>
        <w:spacing w:line="336" w:lineRule="auto"/>
        <w:ind w:firstLine="480" w:firstLineChars="200"/>
        <w:rPr>
          <w:rFonts w:ascii="仿宋_GB2312" w:hAnsi="仿宋_GB2312" w:eastAsia="仿宋_GB2312" w:cs="仿宋_GB2312"/>
          <w:kern w:val="0"/>
          <w:sz w:val="24"/>
        </w:rPr>
      </w:pPr>
      <w:r>
        <w:rPr>
          <w:rFonts w:hint="eastAsia" w:ascii="仿宋_GB2312" w:hAnsi="仿宋_GB2312" w:eastAsia="仿宋_GB2312" w:cs="仿宋_GB2312"/>
          <w:kern w:val="0"/>
          <w:sz w:val="24"/>
        </w:rPr>
        <w:t>当您与签订协议的证券公司或其分支机构发生纠纷时，可拨打证券公司客户投诉电话，或通过传真、电子邮箱等方式进行投诉。</w:t>
      </w:r>
    </w:p>
    <w:p>
      <w:pPr>
        <w:tabs>
          <w:tab w:val="left" w:pos="4500"/>
        </w:tabs>
        <w:spacing w:line="336" w:lineRule="auto"/>
        <w:ind w:firstLine="480" w:firstLineChars="200"/>
        <w:rPr>
          <w:rFonts w:ascii="仿宋_GB2312" w:hAnsi="仿宋_GB2312" w:eastAsia="仿宋_GB2312" w:cs="仿宋_GB2312"/>
          <w:kern w:val="0"/>
          <w:sz w:val="24"/>
        </w:rPr>
      </w:pPr>
      <w:r>
        <w:rPr>
          <w:rFonts w:hint="eastAsia" w:ascii="仿宋_GB2312" w:hAnsi="仿宋_GB2312" w:eastAsia="仿宋_GB2312" w:cs="仿宋_GB2312"/>
          <w:kern w:val="0"/>
          <w:sz w:val="24"/>
        </w:rPr>
        <w:t>投诉电话：</w:t>
      </w:r>
      <w:r>
        <w:rPr>
          <w:rFonts w:hint="eastAsia" w:ascii="仿宋_GB2312" w:hAnsi="仿宋_GB2312" w:eastAsia="仿宋_GB2312" w:cs="仿宋_GB2312"/>
          <w:kern w:val="0"/>
          <w:sz w:val="24"/>
          <w:lang w:val="en-US" w:eastAsia="zh-CN"/>
        </w:rPr>
        <w:t>956026</w:t>
      </w:r>
      <w:r>
        <w:rPr>
          <w:rFonts w:hint="eastAsia" w:ascii="仿宋_GB2312" w:hAnsi="仿宋_GB2312" w:eastAsia="仿宋_GB2312" w:cs="仿宋_GB2312"/>
          <w:kern w:val="0"/>
          <w:sz w:val="24"/>
          <w:lang w:eastAsia="zh-CN"/>
        </w:rPr>
        <w:t>、</w:t>
      </w:r>
      <w:r>
        <w:rPr>
          <w:rFonts w:hint="eastAsia" w:ascii="仿宋_GB2312" w:hAnsi="仿宋_GB2312" w:eastAsia="仿宋_GB2312" w:cs="仿宋_GB2312"/>
          <w:kern w:val="0"/>
          <w:sz w:val="24"/>
        </w:rPr>
        <w:t>400</w:t>
      </w:r>
      <w:r>
        <w:rPr>
          <w:rFonts w:hint="eastAsia" w:ascii="仿宋_GB2312" w:hAnsi="仿宋_GB2312" w:eastAsia="仿宋_GB2312" w:cs="仿宋_GB2312"/>
          <w:kern w:val="0"/>
          <w:sz w:val="24"/>
          <w:lang w:val="en-US" w:eastAsia="zh-CN"/>
        </w:rPr>
        <w:t>-</w:t>
      </w:r>
      <w:r>
        <w:rPr>
          <w:rFonts w:hint="eastAsia" w:ascii="仿宋_GB2312" w:hAnsi="仿宋_GB2312" w:eastAsia="仿宋_GB2312" w:cs="仿宋_GB2312"/>
          <w:kern w:val="0"/>
          <w:sz w:val="24"/>
        </w:rPr>
        <w:t>620</w:t>
      </w:r>
      <w:r>
        <w:rPr>
          <w:rFonts w:hint="eastAsia" w:ascii="仿宋_GB2312" w:hAnsi="仿宋_GB2312" w:eastAsia="仿宋_GB2312" w:cs="仿宋_GB2312"/>
          <w:kern w:val="0"/>
          <w:sz w:val="24"/>
          <w:lang w:val="en-US" w:eastAsia="zh-CN"/>
        </w:rPr>
        <w:t>-</w:t>
      </w:r>
      <w:r>
        <w:rPr>
          <w:rFonts w:hint="eastAsia" w:ascii="仿宋_GB2312" w:hAnsi="仿宋_GB2312" w:eastAsia="仿宋_GB2312" w:cs="仿宋_GB2312"/>
          <w:kern w:val="0"/>
          <w:sz w:val="24"/>
        </w:rPr>
        <w:t>8888；</w:t>
      </w:r>
    </w:p>
    <w:p>
      <w:pPr>
        <w:tabs>
          <w:tab w:val="left" w:pos="4500"/>
        </w:tabs>
        <w:spacing w:line="336" w:lineRule="auto"/>
        <w:ind w:firstLine="480" w:firstLineChars="200"/>
        <w:rPr>
          <w:rFonts w:ascii="仿宋_GB2312" w:hAnsi="仿宋_GB2312" w:eastAsia="仿宋_GB2312" w:cs="仿宋_GB2312"/>
          <w:kern w:val="0"/>
          <w:sz w:val="24"/>
        </w:rPr>
      </w:pPr>
      <w:r>
        <w:rPr>
          <w:rFonts w:hint="eastAsia" w:ascii="仿宋_GB2312" w:hAnsi="仿宋_GB2312" w:eastAsia="仿宋_GB2312" w:cs="仿宋_GB2312"/>
          <w:kern w:val="0"/>
          <w:sz w:val="24"/>
        </w:rPr>
        <w:t>传真：  021-58883554；</w:t>
      </w:r>
    </w:p>
    <w:p>
      <w:pPr>
        <w:tabs>
          <w:tab w:val="left" w:pos="4500"/>
        </w:tabs>
        <w:spacing w:line="336" w:lineRule="auto"/>
        <w:ind w:firstLine="480" w:firstLineChars="200"/>
        <w:rPr>
          <w:rFonts w:ascii="仿宋_GB2312" w:hAnsi="仿宋_GB2312" w:eastAsia="仿宋_GB2312" w:cs="仿宋_GB2312"/>
          <w:kern w:val="0"/>
          <w:sz w:val="24"/>
        </w:rPr>
      </w:pPr>
      <w:r>
        <w:rPr>
          <w:rFonts w:hint="eastAsia" w:ascii="仿宋_GB2312" w:hAnsi="仿宋_GB2312" w:eastAsia="仿宋_GB2312" w:cs="仿宋_GB2312"/>
          <w:kern w:val="0"/>
          <w:sz w:val="24"/>
        </w:rPr>
        <w:t xml:space="preserve">电子信箱：webmaster@bocichina.com          </w:t>
      </w:r>
    </w:p>
    <w:p>
      <w:pPr>
        <w:adjustRightInd w:val="0"/>
        <w:snapToGrid w:val="0"/>
        <w:spacing w:line="440" w:lineRule="exact"/>
        <w:ind w:firstLine="482" w:firstLineChars="200"/>
        <w:rPr>
          <w:rFonts w:ascii="仿宋" w:hAnsi="仿宋" w:eastAsia="仿宋" w:cs="仿宋"/>
          <w:b/>
          <w:sz w:val="24"/>
        </w:rPr>
      </w:pPr>
      <w:r>
        <w:rPr>
          <w:rFonts w:hint="eastAsia" w:ascii="仿宋" w:hAnsi="仿宋" w:eastAsia="仿宋" w:cs="仿宋"/>
          <w:b/>
          <w:sz w:val="24"/>
        </w:rPr>
        <w:t>本人</w:t>
      </w:r>
      <w:r>
        <w:rPr>
          <w:rFonts w:hint="eastAsia" w:ascii="仿宋" w:hAnsi="仿宋" w:eastAsia="仿宋" w:cs="仿宋"/>
          <w:b/>
          <w:kern w:val="0"/>
          <w:sz w:val="24"/>
        </w:rPr>
        <w:t>/机构</w:t>
      </w:r>
      <w:r>
        <w:rPr>
          <w:rFonts w:hint="eastAsia" w:ascii="仿宋" w:hAnsi="仿宋" w:eastAsia="仿宋" w:cs="仿宋"/>
          <w:b/>
          <w:sz w:val="24"/>
        </w:rPr>
        <w:t>已详细阅读并充分理解了《客户须知》的各项内容。</w:t>
      </w:r>
    </w:p>
    <w:p>
      <w:pPr>
        <w:adjustRightInd w:val="0"/>
        <w:snapToGrid w:val="0"/>
        <w:spacing w:line="440" w:lineRule="exact"/>
        <w:ind w:firstLine="482" w:firstLineChars="200"/>
        <w:rPr>
          <w:rFonts w:ascii="仿宋" w:hAnsi="仿宋" w:eastAsia="仿宋" w:cs="仿宋"/>
          <w:b/>
          <w:sz w:val="24"/>
        </w:rPr>
      </w:pPr>
      <w:r>
        <w:rPr>
          <w:rFonts w:hint="eastAsia" w:ascii="仿宋" w:hAnsi="仿宋" w:eastAsia="仿宋" w:cs="仿宋"/>
          <w:b/>
          <w:sz w:val="24"/>
        </w:rPr>
        <w:t>（请抄写以上内容）</w:t>
      </w:r>
    </w:p>
    <w:p>
      <w:pPr>
        <w:spacing w:line="360" w:lineRule="auto"/>
        <w:ind w:firstLine="480" w:firstLineChars="200"/>
        <w:jc w:val="left"/>
        <w:rPr>
          <w:rFonts w:ascii="仿宋" w:hAnsi="仿宋" w:eastAsia="仿宋" w:cs="仿宋"/>
          <w:sz w:val="24"/>
        </w:rPr>
      </w:pPr>
      <w:r>
        <w:rPr>
          <w:rFonts w:hint="eastAsia" w:ascii="仿宋" w:hAnsi="仿宋" w:eastAsia="仿宋" w:cs="仿宋"/>
          <w:sz w:val="24"/>
        </w:rPr>
        <w:t>___________________________________________________________________________</w:t>
      </w:r>
    </w:p>
    <w:p>
      <w:pPr>
        <w:pStyle w:val="2"/>
      </w:pPr>
    </w:p>
    <w:p>
      <w:pPr>
        <w:tabs>
          <w:tab w:val="left" w:pos="4500"/>
        </w:tabs>
        <w:spacing w:line="360" w:lineRule="auto"/>
        <w:ind w:firstLine="482" w:firstLineChars="200"/>
        <w:rPr>
          <w:rFonts w:ascii="仿宋" w:hAnsi="仿宋" w:eastAsia="仿宋" w:cs="华文中宋"/>
          <w:b/>
          <w:bCs/>
          <w:kern w:val="0"/>
          <w:sz w:val="24"/>
        </w:rPr>
      </w:pPr>
      <w:r>
        <w:rPr>
          <w:rFonts w:hint="eastAsia" w:ascii="仿宋" w:hAnsi="仿宋" w:eastAsia="仿宋"/>
          <w:b/>
          <w:sz w:val="24"/>
        </w:rPr>
        <w:t>本投资者确认已详细阅读并完全理解了上述的各项内容，在签署页签署视同签署认可。</w:t>
      </w:r>
    </w:p>
    <w:p>
      <w:pPr>
        <w:spacing w:line="360" w:lineRule="auto"/>
        <w:ind w:firstLine="480"/>
        <w:rPr>
          <w:rFonts w:ascii="仿宋_GB2312" w:hAnsi="仿宋_GB2312" w:eastAsia="仿宋_GB2312" w:cs="仿宋_GB2312"/>
          <w:sz w:val="24"/>
          <w:u w:val="single"/>
        </w:rPr>
      </w:pPr>
    </w:p>
    <w:p>
      <w:pPr>
        <w:widowControl/>
        <w:jc w:val="left"/>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br w:type="page"/>
      </w:r>
    </w:p>
    <w:p>
      <w:pPr>
        <w:pStyle w:val="19"/>
        <w:numPr>
          <w:ilvl w:val="0"/>
          <w:numId w:val="1"/>
        </w:numPr>
        <w:rPr>
          <w:rFonts w:hint="eastAsia" w:ascii="仿宋" w:hAnsi="仿宋" w:eastAsia="仿宋" w:cstheme="majorBidi"/>
          <w:kern w:val="0"/>
          <w:sz w:val="32"/>
          <w:szCs w:val="32"/>
        </w:rPr>
      </w:pPr>
      <w:bookmarkStart w:id="24" w:name="_Toc24882"/>
      <w:bookmarkStart w:id="25" w:name="_Toc26403"/>
      <w:bookmarkStart w:id="26" w:name="_Toc22946"/>
      <w:bookmarkStart w:id="27" w:name="_Toc17482"/>
      <w:bookmarkStart w:id="28" w:name="_Toc22151"/>
      <w:bookmarkStart w:id="29" w:name="_Toc25614"/>
      <w:r>
        <w:rPr>
          <w:rFonts w:hint="eastAsia" w:ascii="仿宋" w:hAnsi="仿宋" w:eastAsia="仿宋" w:cstheme="majorBidi"/>
          <w:kern w:val="0"/>
          <w:sz w:val="32"/>
          <w:szCs w:val="32"/>
        </w:rPr>
        <w:t>证券公司客户账户开户协议</w:t>
      </w:r>
      <w:bookmarkEnd w:id="24"/>
      <w:bookmarkEnd w:id="25"/>
      <w:bookmarkEnd w:id="26"/>
      <w:bookmarkEnd w:id="27"/>
      <w:bookmarkEnd w:id="28"/>
      <w:bookmarkEnd w:id="29"/>
    </w:p>
    <w:p>
      <w:pPr>
        <w:spacing w:line="360" w:lineRule="auto"/>
        <w:ind w:firstLine="480" w:firstLineChars="200"/>
        <w:rPr>
          <w:rFonts w:ascii="仿宋_GB2312" w:hAnsi="仿宋_GB2312" w:eastAsia="仿宋_GB2312" w:cs="仿宋_GB2312"/>
          <w:kern w:val="0"/>
          <w:sz w:val="24"/>
        </w:rPr>
      </w:pPr>
      <w:r>
        <w:rPr>
          <w:rFonts w:hint="eastAsia" w:ascii="仿宋_GB2312" w:hAnsi="仿宋_GB2312" w:eastAsia="仿宋_GB2312" w:cs="仿宋_GB2312"/>
          <w:kern w:val="0"/>
          <w:sz w:val="24"/>
        </w:rPr>
        <w:t>依据《中华人民共和国民法典》《中华人民共和国证券法》（以下简称《证券法》）《中华人民共和国电子签名法》《中华人民共和国反洗钱法》（以下简称《反洗钱法》）</w:t>
      </w:r>
      <w:r>
        <w:rPr>
          <w:rFonts w:hint="eastAsia" w:ascii="仿宋_GB2312" w:hAnsi="仿宋_GB2312" w:eastAsia="仿宋_GB2312" w:cs="仿宋_GB2312"/>
          <w:sz w:val="24"/>
        </w:rPr>
        <w:t>《中华人民共和国个人信息保护法》</w:t>
      </w:r>
      <w:r>
        <w:rPr>
          <w:rFonts w:hint="eastAsia" w:ascii="仿宋_GB2312" w:hAnsi="仿宋_GB2312" w:eastAsia="仿宋_GB2312" w:cs="仿宋_GB2312"/>
          <w:kern w:val="0"/>
          <w:sz w:val="24"/>
        </w:rPr>
        <w:t>《证券期货投资者适当性管理办法》《证券经纪业务管理办法》《证券账户业务指南》《证券经纪业务管理实施细则》《证券公司客户资金账户管理规则》以及其他有关法律法规、监管规定和自律规则等，甲乙双方就乙方为甲方开立证券公司客户账户（以下简称“客户账户”或“账户”）及其他相关事宜达成如下协议，供双方共同遵守。</w:t>
      </w:r>
    </w:p>
    <w:p>
      <w:pPr>
        <w:spacing w:line="360" w:lineRule="auto"/>
        <w:ind w:firstLine="482" w:firstLineChars="200"/>
        <w:jc w:val="center"/>
        <w:rPr>
          <w:rFonts w:ascii="仿宋_GB2312" w:hAnsi="仿宋_GB2312" w:eastAsia="仿宋_GB2312" w:cs="仿宋_GB2312"/>
          <w:b/>
          <w:kern w:val="0"/>
          <w:sz w:val="24"/>
        </w:rPr>
      </w:pPr>
    </w:p>
    <w:p>
      <w:pPr>
        <w:spacing w:line="360" w:lineRule="auto"/>
        <w:ind w:firstLine="482" w:firstLineChars="200"/>
        <w:jc w:val="center"/>
        <w:rPr>
          <w:rFonts w:ascii="仿宋_GB2312" w:hAnsi="仿宋_GB2312" w:eastAsia="仿宋_GB2312" w:cs="仿宋_GB2312"/>
          <w:b/>
          <w:kern w:val="0"/>
          <w:sz w:val="24"/>
        </w:rPr>
      </w:pPr>
      <w:r>
        <w:rPr>
          <w:rFonts w:hint="eastAsia" w:ascii="仿宋_GB2312" w:hAnsi="仿宋_GB2312" w:eastAsia="仿宋_GB2312" w:cs="仿宋_GB2312"/>
          <w:b/>
          <w:kern w:val="0"/>
          <w:sz w:val="24"/>
        </w:rPr>
        <w:t>第一章  双方声明和承诺</w:t>
      </w:r>
    </w:p>
    <w:p>
      <w:pPr>
        <w:spacing w:line="360" w:lineRule="auto"/>
        <w:ind w:firstLine="482" w:firstLineChars="200"/>
        <w:jc w:val="left"/>
        <w:rPr>
          <w:rFonts w:ascii="仿宋_GB2312" w:hAnsi="仿宋_GB2312" w:eastAsia="仿宋_GB2312" w:cs="仿宋_GB2312"/>
          <w:bCs/>
          <w:kern w:val="0"/>
          <w:sz w:val="24"/>
        </w:rPr>
      </w:pPr>
      <w:r>
        <w:rPr>
          <w:rFonts w:hint="eastAsia" w:ascii="仿宋_GB2312" w:hAnsi="仿宋_GB2312" w:eastAsia="仿宋_GB2312" w:cs="仿宋_GB2312"/>
          <w:b/>
          <w:bCs/>
          <w:kern w:val="0"/>
          <w:sz w:val="24"/>
        </w:rPr>
        <w:t>第一条</w:t>
      </w:r>
      <w:r>
        <w:rPr>
          <w:rFonts w:hint="eastAsia" w:ascii="仿宋_GB2312" w:hAnsi="仿宋_GB2312" w:eastAsia="仿宋_GB2312" w:cs="仿宋_GB2312"/>
          <w:bCs/>
          <w:kern w:val="0"/>
          <w:sz w:val="24"/>
        </w:rPr>
        <w:t xml:space="preserve">  </w:t>
      </w:r>
      <w:r>
        <w:rPr>
          <w:rFonts w:hint="eastAsia" w:ascii="仿宋_GB2312" w:hAnsi="仿宋_GB2312" w:eastAsia="仿宋_GB2312" w:cs="仿宋_GB2312"/>
          <w:kern w:val="0"/>
          <w:sz w:val="24"/>
        </w:rPr>
        <w:t>甲方向乙方作如下声明和承诺：</w:t>
      </w:r>
    </w:p>
    <w:p>
      <w:pPr>
        <w:spacing w:line="360" w:lineRule="auto"/>
        <w:ind w:firstLine="480" w:firstLineChars="200"/>
        <w:jc w:val="left"/>
        <w:rPr>
          <w:rFonts w:ascii="仿宋_GB2312" w:hAnsi="仿宋_GB2312" w:eastAsia="仿宋_GB2312" w:cs="仿宋_GB2312"/>
          <w:b/>
          <w:bCs/>
          <w:kern w:val="0"/>
          <w:sz w:val="24"/>
        </w:rPr>
      </w:pPr>
      <w:r>
        <w:rPr>
          <w:rFonts w:hint="eastAsia" w:ascii="仿宋_GB2312" w:hAnsi="仿宋_GB2312" w:eastAsia="仿宋_GB2312" w:cs="仿宋_GB2312"/>
          <w:kern w:val="0"/>
          <w:sz w:val="24"/>
        </w:rPr>
        <w:t>1.甲方具有中国法律所要求的进行金融投资的主体资格，不存在中国法律法规、监管规定、自律规则等禁止或限制进行金融投资的任何情形,并保证用于进行金融投资的资金来源合法；</w:t>
      </w:r>
    </w:p>
    <w:p>
      <w:pPr>
        <w:spacing w:line="360" w:lineRule="auto"/>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2.甲方已经充分了解并自愿遵守有关客户账户管理的法律法规、监管规定、自律规则等相关规定；</w:t>
      </w:r>
    </w:p>
    <w:p>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3.甲方已经充分了解证券交易场所对证券交易行为管理的相关规定，已如实提供以往交易合规情况，并愿意承担相应法律责任；</w:t>
      </w:r>
    </w:p>
    <w:p>
      <w:pPr>
        <w:spacing w:line="360" w:lineRule="auto"/>
        <w:ind w:firstLine="480" w:firstLineChars="20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4.甲方承诺其在签署本协议及账户使用存续期间内，向乙方提供的所有证件、资料和信息均真实、准确、完整、有效。相关信息发生变更时，应当及时告知乙方，并按照乙方认可的方式进行修改。甲方同意乙方对甲方信息进行处理、合法验证和依法报送，甲方不按照规定提供相关信息，或提供的信息不真实、不准确、不完整或无效的，应当依法承担相应法律责任；</w:t>
      </w:r>
    </w:p>
    <w:p>
      <w:pPr>
        <w:spacing w:line="360" w:lineRule="auto"/>
        <w:ind w:firstLine="480" w:firstLineChars="20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5.甲方承诺配合乙方根据中国证监会、中国证券业协会（以下简称“协会”）相关</w:t>
      </w:r>
      <w:r>
        <w:rPr>
          <w:rFonts w:hint="eastAsia" w:ascii="仿宋_GB2312" w:hAnsi="仿宋_GB2312" w:eastAsia="仿宋_GB2312" w:cs="仿宋_GB2312"/>
          <w:sz w:val="24"/>
        </w:rPr>
        <w:t>监管规定、</w:t>
      </w:r>
      <w:r>
        <w:rPr>
          <w:rFonts w:hint="eastAsia" w:ascii="仿宋_GB2312" w:hAnsi="仿宋_GB2312" w:eastAsia="仿宋_GB2312" w:cs="仿宋_GB2312"/>
          <w:kern w:val="0"/>
          <w:sz w:val="24"/>
        </w:rPr>
        <w:t>自律规则及乙方业务规则开展的适当性管理工作，审慎评估自身投资需求和风险承受能力，充分了解产品和服务的情况，自行承担其所参与金融活动的风险；</w:t>
      </w:r>
    </w:p>
    <w:p>
      <w:pPr>
        <w:spacing w:line="360" w:lineRule="auto"/>
        <w:ind w:firstLine="480" w:firstLineChars="20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6.甲方承诺配合乙方根据《证券法》《反洗钱法》《非居民金融账户涉税信息尽职调查办法》以及其他有关法律法规、监管规定和自律规则的规定开展的账户核查、尽职调查等工作，并自行承担未遵守有关法律法规、监管规定和自律规则规定的全部责任和风险；</w:t>
      </w:r>
    </w:p>
    <w:p>
      <w:pPr>
        <w:spacing w:line="360" w:lineRule="auto"/>
        <w:ind w:firstLine="480" w:firstLineChars="20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7.甲方确认，其已阅读并充分理解和接受《客户须知》和本协议所有条款，并准确理解其含义，特别是双方权利、义务和免责条款。</w:t>
      </w:r>
    </w:p>
    <w:p>
      <w:pPr>
        <w:spacing w:line="360" w:lineRule="auto"/>
        <w:ind w:firstLine="482" w:firstLineChars="200"/>
        <w:jc w:val="left"/>
        <w:rPr>
          <w:rFonts w:ascii="仿宋_GB2312" w:hAnsi="仿宋_GB2312" w:eastAsia="仿宋_GB2312" w:cs="仿宋_GB2312"/>
          <w:kern w:val="0"/>
          <w:sz w:val="24"/>
        </w:rPr>
      </w:pPr>
      <w:r>
        <w:rPr>
          <w:rFonts w:hint="eastAsia" w:ascii="仿宋_GB2312" w:hAnsi="仿宋_GB2312" w:eastAsia="仿宋_GB2312" w:cs="仿宋_GB2312"/>
          <w:b/>
          <w:kern w:val="0"/>
          <w:sz w:val="24"/>
        </w:rPr>
        <w:t>第二条</w:t>
      </w:r>
      <w:r>
        <w:rPr>
          <w:rFonts w:hint="eastAsia" w:ascii="仿宋_GB2312" w:hAnsi="仿宋_GB2312" w:eastAsia="仿宋_GB2312" w:cs="仿宋_GB2312"/>
          <w:kern w:val="0"/>
          <w:sz w:val="24"/>
        </w:rPr>
        <w:t xml:space="preserve">  乙方向甲方作如下声明和承诺：</w:t>
      </w:r>
    </w:p>
    <w:p>
      <w:pPr>
        <w:spacing w:line="360" w:lineRule="auto"/>
        <w:ind w:firstLine="480" w:firstLineChars="200"/>
        <w:rPr>
          <w:rFonts w:ascii="仿宋_GB2312" w:hAnsi="仿宋_GB2312" w:eastAsia="仿宋_GB2312" w:cs="仿宋_GB2312"/>
          <w:kern w:val="0"/>
          <w:sz w:val="24"/>
        </w:rPr>
      </w:pPr>
      <w:r>
        <w:rPr>
          <w:rFonts w:hint="eastAsia" w:ascii="仿宋_GB2312" w:hAnsi="仿宋_GB2312" w:eastAsia="仿宋_GB2312" w:cs="仿宋_GB2312"/>
          <w:kern w:val="0"/>
          <w:sz w:val="24"/>
        </w:rPr>
        <w:t>1.乙方是依照中国有关法律法规设立且有效存续的证券经营机构，乙方的经营范围以中国证监会批准的经营内容为限；</w:t>
      </w:r>
    </w:p>
    <w:p>
      <w:pPr>
        <w:spacing w:line="360" w:lineRule="auto"/>
        <w:ind w:firstLine="480" w:firstLineChars="20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2.乙方具有开展业务的必要条件，能够为甲方提供本协议下约定的金融服务;</w:t>
      </w:r>
    </w:p>
    <w:p>
      <w:pPr>
        <w:spacing w:line="360" w:lineRule="auto"/>
        <w:ind w:firstLine="480" w:firstLineChars="20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3.乙方已按规定实施客户交易结算资金第三方存管;</w:t>
      </w:r>
    </w:p>
    <w:p>
      <w:pPr>
        <w:spacing w:line="360" w:lineRule="auto"/>
        <w:ind w:firstLine="480" w:firstLineChars="20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4.乙方承诺遵守有关法律法规、</w:t>
      </w:r>
      <w:r>
        <w:rPr>
          <w:rFonts w:hint="eastAsia" w:ascii="仿宋_GB2312" w:hAnsi="仿宋_GB2312" w:eastAsia="仿宋_GB2312" w:cs="仿宋_GB2312"/>
          <w:sz w:val="24"/>
        </w:rPr>
        <w:t>监管规定</w:t>
      </w:r>
      <w:r>
        <w:rPr>
          <w:rFonts w:hint="eastAsia" w:ascii="仿宋_GB2312" w:hAnsi="仿宋_GB2312" w:eastAsia="仿宋_GB2312" w:cs="仿宋_GB2312"/>
          <w:kern w:val="0"/>
          <w:sz w:val="24"/>
        </w:rPr>
        <w:t xml:space="preserve">、自律规则的规定; </w:t>
      </w:r>
    </w:p>
    <w:p>
      <w:pPr>
        <w:spacing w:line="360" w:lineRule="auto"/>
        <w:ind w:firstLine="484" w:firstLineChars="202"/>
        <w:rPr>
          <w:rFonts w:ascii="仿宋_GB2312" w:hAnsi="仿宋_GB2312" w:eastAsia="仿宋_GB2312" w:cs="仿宋_GB2312"/>
          <w:sz w:val="24"/>
        </w:rPr>
      </w:pPr>
      <w:r>
        <w:rPr>
          <w:rFonts w:hint="eastAsia" w:ascii="仿宋_GB2312" w:hAnsi="仿宋_GB2312" w:eastAsia="仿宋_GB2312" w:cs="仿宋_GB2312"/>
          <w:sz w:val="24"/>
        </w:rPr>
        <w:t>5.乙方不接受甲方的任何全权交易委托，不对甲方进行的金融活动的投资收益或亏损进行任何形式的保证，不编造或传播虚假信息误导甲方，不诱使甲方进行不必要的金融市场投资或任何其他投资行为；</w:t>
      </w:r>
    </w:p>
    <w:p>
      <w:pPr>
        <w:spacing w:line="360" w:lineRule="auto"/>
        <w:ind w:firstLine="484" w:firstLineChars="202"/>
        <w:rPr>
          <w:rFonts w:ascii="仿宋_GB2312" w:hAnsi="仿宋_GB2312" w:eastAsia="仿宋_GB2312" w:cs="仿宋_GB2312"/>
          <w:sz w:val="24"/>
        </w:rPr>
      </w:pPr>
      <w:r>
        <w:rPr>
          <w:rFonts w:hint="eastAsia" w:ascii="仿宋_GB2312" w:hAnsi="仿宋_GB2312" w:eastAsia="仿宋_GB2312" w:cs="仿宋_GB2312"/>
          <w:sz w:val="24"/>
        </w:rPr>
        <w:t>6.乙方承诺遵守本协议，按本协议为甲方开立客户账户并提供相关账户服务。</w:t>
      </w:r>
    </w:p>
    <w:p>
      <w:pPr>
        <w:spacing w:line="360" w:lineRule="auto"/>
        <w:ind w:firstLine="487" w:firstLineChars="202"/>
        <w:jc w:val="center"/>
        <w:rPr>
          <w:rFonts w:ascii="仿宋_GB2312" w:hAnsi="仿宋_GB2312" w:eastAsia="仿宋_GB2312" w:cs="仿宋_GB2312"/>
          <w:b/>
          <w:sz w:val="24"/>
        </w:rPr>
      </w:pPr>
      <w:r>
        <w:rPr>
          <w:rFonts w:hint="eastAsia" w:ascii="仿宋_GB2312" w:hAnsi="仿宋_GB2312" w:eastAsia="仿宋_GB2312" w:cs="仿宋_GB2312"/>
          <w:b/>
          <w:bCs/>
          <w:kern w:val="0"/>
          <w:sz w:val="24"/>
        </w:rPr>
        <w:t>第二章  双方权利和义务</w:t>
      </w:r>
    </w:p>
    <w:p>
      <w:pPr>
        <w:spacing w:line="360" w:lineRule="auto"/>
        <w:ind w:firstLine="487" w:firstLineChars="202"/>
        <w:rPr>
          <w:rFonts w:ascii="仿宋_GB2312" w:hAnsi="仿宋_GB2312" w:eastAsia="仿宋_GB2312" w:cs="仿宋_GB2312"/>
          <w:kern w:val="0"/>
          <w:sz w:val="24"/>
        </w:rPr>
      </w:pPr>
      <w:r>
        <w:rPr>
          <w:rFonts w:hint="eastAsia" w:ascii="仿宋_GB2312" w:hAnsi="仿宋_GB2312" w:eastAsia="仿宋_GB2312" w:cs="仿宋_GB2312"/>
          <w:b/>
          <w:bCs/>
          <w:kern w:val="0"/>
          <w:sz w:val="24"/>
        </w:rPr>
        <w:t>第三条</w:t>
      </w:r>
      <w:r>
        <w:rPr>
          <w:rFonts w:hint="eastAsia" w:ascii="仿宋_GB2312" w:hAnsi="仿宋_GB2312" w:eastAsia="仿宋_GB2312" w:cs="仿宋_GB2312"/>
          <w:kern w:val="0"/>
          <w:sz w:val="24"/>
        </w:rPr>
        <w:t xml:space="preserve">  甲方的权利和义务：</w:t>
      </w:r>
    </w:p>
    <w:p>
      <w:pPr>
        <w:spacing w:line="360" w:lineRule="auto"/>
        <w:ind w:firstLine="484" w:firstLineChars="202"/>
        <w:rPr>
          <w:rFonts w:ascii="仿宋_GB2312" w:hAnsi="仿宋_GB2312" w:eastAsia="仿宋_GB2312" w:cs="仿宋_GB2312"/>
          <w:kern w:val="0"/>
          <w:sz w:val="24"/>
        </w:rPr>
      </w:pPr>
      <w:r>
        <w:rPr>
          <w:rFonts w:hint="eastAsia" w:ascii="仿宋_GB2312" w:hAnsi="仿宋_GB2312" w:eastAsia="仿宋_GB2312" w:cs="仿宋_GB2312"/>
          <w:kern w:val="0"/>
          <w:sz w:val="24"/>
        </w:rPr>
        <w:t>（一）甲方权利</w:t>
      </w:r>
    </w:p>
    <w:p>
      <w:pPr>
        <w:spacing w:line="360" w:lineRule="auto"/>
        <w:ind w:firstLine="484" w:firstLineChars="202"/>
        <w:rPr>
          <w:rFonts w:ascii="仿宋_GB2312" w:hAnsi="仿宋_GB2312" w:eastAsia="仿宋_GB2312" w:cs="仿宋_GB2312"/>
          <w:kern w:val="0"/>
          <w:sz w:val="24"/>
        </w:rPr>
      </w:pPr>
      <w:r>
        <w:rPr>
          <w:rFonts w:hint="eastAsia" w:ascii="仿宋_GB2312" w:hAnsi="仿宋_GB2312" w:eastAsia="仿宋_GB2312" w:cs="仿宋_GB2312"/>
          <w:kern w:val="0"/>
          <w:sz w:val="24"/>
        </w:rPr>
        <w:t>1.享有乙方承诺的各项服务的权利；</w:t>
      </w:r>
    </w:p>
    <w:p>
      <w:pPr>
        <w:spacing w:line="360" w:lineRule="auto"/>
        <w:ind w:firstLine="484" w:firstLineChars="202"/>
        <w:rPr>
          <w:rFonts w:ascii="仿宋_GB2312" w:hAnsi="仿宋_GB2312" w:eastAsia="仿宋_GB2312" w:cs="仿宋_GB2312"/>
          <w:kern w:val="0"/>
          <w:sz w:val="24"/>
        </w:rPr>
      </w:pPr>
      <w:r>
        <w:rPr>
          <w:rFonts w:hint="eastAsia" w:ascii="仿宋_GB2312" w:hAnsi="仿宋_GB2312" w:eastAsia="仿宋_GB2312" w:cs="仿宋_GB2312"/>
          <w:kern w:val="0"/>
          <w:sz w:val="24"/>
        </w:rPr>
        <w:t>2.有权获知有关甲方账户的功能、委托方式、操作方法、佣金及其他服务费率、利率、交易明细、资产余额等信息；</w:t>
      </w:r>
    </w:p>
    <w:p>
      <w:pPr>
        <w:spacing w:line="360" w:lineRule="auto"/>
        <w:ind w:firstLine="484" w:firstLineChars="202"/>
        <w:rPr>
          <w:rFonts w:ascii="仿宋_GB2312" w:hAnsi="仿宋_GB2312" w:eastAsia="仿宋_GB2312" w:cs="仿宋_GB2312"/>
          <w:kern w:val="0"/>
          <w:sz w:val="24"/>
        </w:rPr>
      </w:pPr>
      <w:r>
        <w:rPr>
          <w:rFonts w:hint="eastAsia" w:ascii="仿宋_GB2312" w:hAnsi="仿宋_GB2312" w:eastAsia="仿宋_GB2312" w:cs="仿宋_GB2312"/>
          <w:kern w:val="0"/>
          <w:sz w:val="24"/>
        </w:rPr>
        <w:t>3.有权在乙方的营业时间或与乙方约定的其他时间内，在乙方营业场所或通过乙方提供的自助方式，查询和核对其客户账户内的资金或证券的余额和变动情况；</w:t>
      </w:r>
    </w:p>
    <w:p>
      <w:pPr>
        <w:spacing w:line="360" w:lineRule="auto"/>
        <w:ind w:firstLine="484" w:firstLineChars="202"/>
        <w:rPr>
          <w:rFonts w:ascii="仿宋_GB2312" w:hAnsi="仿宋_GB2312" w:eastAsia="仿宋_GB2312" w:cs="仿宋_GB2312"/>
          <w:kern w:val="0"/>
          <w:sz w:val="24"/>
        </w:rPr>
      </w:pPr>
      <w:r>
        <w:rPr>
          <w:rFonts w:hint="eastAsia" w:ascii="仿宋_GB2312" w:hAnsi="仿宋_GB2312" w:eastAsia="仿宋_GB2312" w:cs="仿宋_GB2312"/>
          <w:kern w:val="0"/>
          <w:sz w:val="24"/>
        </w:rPr>
        <w:t>4.有权监督乙方的服务质量，对不符合质量要求的服务进行</w:t>
      </w:r>
      <w:r>
        <w:rPr>
          <w:rFonts w:hint="eastAsia" w:ascii="仿宋_GB2312" w:hAnsi="仿宋_GB2312" w:eastAsia="仿宋_GB2312" w:cs="仿宋_GB2312"/>
          <w:sz w:val="24"/>
        </w:rPr>
        <w:t>意见反馈或</w:t>
      </w:r>
      <w:r>
        <w:rPr>
          <w:rFonts w:hint="eastAsia" w:ascii="仿宋_GB2312" w:hAnsi="仿宋_GB2312" w:eastAsia="仿宋_GB2312" w:cs="仿宋_GB2312"/>
          <w:kern w:val="0"/>
          <w:sz w:val="24"/>
        </w:rPr>
        <w:t>投诉；</w:t>
      </w:r>
    </w:p>
    <w:p>
      <w:pPr>
        <w:spacing w:line="360" w:lineRule="auto"/>
        <w:ind w:firstLine="484" w:firstLineChars="202"/>
        <w:rPr>
          <w:rFonts w:ascii="仿宋_GB2312" w:hAnsi="仿宋_GB2312" w:eastAsia="仿宋_GB2312" w:cs="仿宋_GB2312"/>
          <w:kern w:val="0"/>
          <w:sz w:val="24"/>
        </w:rPr>
      </w:pPr>
      <w:r>
        <w:rPr>
          <w:rFonts w:hint="eastAsia" w:ascii="仿宋_GB2312" w:hAnsi="仿宋_GB2312" w:eastAsia="仿宋_GB2312" w:cs="仿宋_GB2312"/>
          <w:kern w:val="0"/>
          <w:sz w:val="24"/>
        </w:rPr>
        <w:t>5.享有本协议约定的其他权利。</w:t>
      </w:r>
    </w:p>
    <w:p>
      <w:pPr>
        <w:spacing w:line="360" w:lineRule="auto"/>
        <w:ind w:firstLine="484" w:firstLineChars="202"/>
        <w:rPr>
          <w:rFonts w:ascii="仿宋_GB2312" w:hAnsi="仿宋_GB2312" w:eastAsia="仿宋_GB2312" w:cs="仿宋_GB2312"/>
          <w:kern w:val="0"/>
          <w:sz w:val="24"/>
        </w:rPr>
      </w:pPr>
      <w:r>
        <w:rPr>
          <w:rFonts w:hint="eastAsia" w:ascii="仿宋_GB2312" w:hAnsi="仿宋_GB2312" w:eastAsia="仿宋_GB2312" w:cs="仿宋_GB2312"/>
          <w:kern w:val="0"/>
          <w:sz w:val="24"/>
        </w:rPr>
        <w:t>（二）甲方义务</w:t>
      </w:r>
    </w:p>
    <w:p>
      <w:pPr>
        <w:spacing w:line="360" w:lineRule="auto"/>
        <w:ind w:firstLine="484" w:firstLineChars="202"/>
        <w:rPr>
          <w:rFonts w:ascii="仿宋_GB2312" w:hAnsi="仿宋_GB2312" w:eastAsia="仿宋_GB2312" w:cs="仿宋_GB2312"/>
          <w:kern w:val="0"/>
          <w:sz w:val="24"/>
        </w:rPr>
      </w:pPr>
      <w:r>
        <w:rPr>
          <w:rFonts w:hint="eastAsia" w:ascii="仿宋_GB2312" w:hAnsi="仿宋_GB2312" w:eastAsia="仿宋_GB2312" w:cs="仿宋_GB2312"/>
          <w:kern w:val="0"/>
          <w:sz w:val="24"/>
        </w:rPr>
        <w:t>1.确保客户账户仅限甲方本人使用，不得出借本人账户或借用他人账户从事证券交易；</w:t>
      </w:r>
    </w:p>
    <w:p>
      <w:pPr>
        <w:spacing w:line="360" w:lineRule="auto"/>
        <w:ind w:firstLine="484" w:firstLineChars="202"/>
        <w:rPr>
          <w:rFonts w:ascii="仿宋_GB2312" w:hAnsi="仿宋_GB2312" w:eastAsia="仿宋_GB2312" w:cs="仿宋_GB2312"/>
          <w:kern w:val="0"/>
          <w:sz w:val="24"/>
        </w:rPr>
      </w:pPr>
      <w:r>
        <w:rPr>
          <w:rFonts w:hint="eastAsia" w:ascii="仿宋_GB2312" w:hAnsi="仿宋_GB2312" w:eastAsia="仿宋_GB2312" w:cs="仿宋_GB2312"/>
          <w:kern w:val="0"/>
          <w:sz w:val="24"/>
        </w:rPr>
        <w:t>2.严格遵守本协议及乙方公布的所有相关服务规则、业务规定等，由于甲方未遵守本协议或乙方的服务规则和业务规定等而导致的后果、风险和损失，由甲方承担；</w:t>
      </w:r>
    </w:p>
    <w:p>
      <w:pPr>
        <w:spacing w:line="360" w:lineRule="auto"/>
        <w:ind w:firstLine="484" w:firstLineChars="202"/>
        <w:rPr>
          <w:rFonts w:ascii="仿宋_GB2312" w:hAnsi="仿宋_GB2312" w:eastAsia="仿宋_GB2312" w:cs="仿宋_GB2312"/>
          <w:kern w:val="0"/>
          <w:sz w:val="24"/>
        </w:rPr>
      </w:pPr>
      <w:r>
        <w:rPr>
          <w:rFonts w:hint="eastAsia" w:ascii="仿宋_GB2312" w:hAnsi="仿宋_GB2312" w:eastAsia="仿宋_GB2312" w:cs="仿宋_GB2312"/>
          <w:kern w:val="0"/>
          <w:sz w:val="24"/>
        </w:rPr>
        <w:t>3.对所提交的身份证明文件以及其他开户资料的真实性、完整性、准确性和有效性负责。甲方信息发生任何变更或有效身份证明文件失效、过期的，应及时以乙方认可的方式进行修改。如因甲方未能及时以乙方认可方式对甲方信息进行修改而导致的后果、风险和损失，由甲方承担；</w:t>
      </w:r>
    </w:p>
    <w:p>
      <w:pPr>
        <w:spacing w:line="360" w:lineRule="auto"/>
        <w:ind w:firstLine="484" w:firstLineChars="202"/>
        <w:rPr>
          <w:rFonts w:ascii="仿宋_GB2312" w:hAnsi="仿宋_GB2312" w:eastAsia="仿宋_GB2312" w:cs="仿宋_GB2312"/>
          <w:kern w:val="0"/>
          <w:sz w:val="24"/>
        </w:rPr>
      </w:pPr>
      <w:r>
        <w:rPr>
          <w:rFonts w:hint="eastAsia" w:ascii="仿宋_GB2312" w:hAnsi="仿宋_GB2312" w:eastAsia="仿宋_GB2312" w:cs="仿宋_GB2312"/>
          <w:kern w:val="0"/>
          <w:sz w:val="24"/>
        </w:rPr>
        <w:t>4.妥善保管身份信息、账户信息、账户密码等，不得将相关信息提供或告知他人使用。由于甲方对上述信息、账户密码的泄露、管理不当或使用不当造成的后果、风险和损失，由甲方承担;</w:t>
      </w:r>
    </w:p>
    <w:p>
      <w:pPr>
        <w:spacing w:line="360" w:lineRule="auto"/>
        <w:ind w:firstLine="484" w:firstLineChars="202"/>
        <w:rPr>
          <w:rFonts w:ascii="仿宋_GB2312" w:hAnsi="仿宋_GB2312" w:eastAsia="仿宋_GB2312" w:cs="仿宋_GB2312"/>
          <w:kern w:val="0"/>
          <w:sz w:val="24"/>
        </w:rPr>
      </w:pPr>
      <w:r>
        <w:rPr>
          <w:rFonts w:hint="eastAsia" w:ascii="仿宋_GB2312" w:hAnsi="仿宋_GB2312" w:eastAsia="仿宋_GB2312" w:cs="仿宋_GB2312"/>
          <w:kern w:val="0"/>
          <w:sz w:val="24"/>
        </w:rPr>
        <w:t>5.及时关注和核对客户账户中各项交易、资金记录等。如发现有他人冒用、盗用等异常或可疑情况时，应立即按照乙方的业务规定办理账户挂失或密码重置手续。在甲方办妥上述相关手续前已发生的后果、风险和损失，由甲方承担；</w:t>
      </w:r>
    </w:p>
    <w:p>
      <w:pPr>
        <w:spacing w:line="360" w:lineRule="auto"/>
        <w:ind w:firstLine="484" w:firstLineChars="202"/>
        <w:rPr>
          <w:rFonts w:ascii="仿宋_GB2312" w:hAnsi="仿宋_GB2312" w:eastAsia="仿宋_GB2312" w:cs="仿宋_GB2312"/>
          <w:kern w:val="0"/>
          <w:sz w:val="24"/>
        </w:rPr>
      </w:pPr>
      <w:r>
        <w:rPr>
          <w:rFonts w:hint="eastAsia" w:ascii="仿宋_GB2312" w:hAnsi="仿宋_GB2312" w:eastAsia="仿宋_GB2312" w:cs="仿宋_GB2312"/>
          <w:kern w:val="0"/>
          <w:sz w:val="24"/>
        </w:rPr>
        <w:t>6.</w:t>
      </w:r>
      <w:r>
        <w:rPr>
          <w:rFonts w:hint="eastAsia" w:ascii="仿宋_GB2312" w:hAnsi="仿宋_GB2312" w:eastAsia="仿宋_GB2312" w:cs="仿宋_GB2312"/>
          <w:sz w:val="24"/>
        </w:rPr>
        <w:t xml:space="preserve"> </w:t>
      </w:r>
      <w:r>
        <w:rPr>
          <w:rFonts w:hint="eastAsia" w:ascii="仿宋_GB2312" w:hAnsi="仿宋_GB2312" w:eastAsia="仿宋_GB2312" w:cs="仿宋_GB2312"/>
          <w:kern w:val="0"/>
          <w:sz w:val="24"/>
        </w:rPr>
        <w:t>履行法律法规、监管规定、自律规则要求以及本协议约定的其他义务。</w:t>
      </w:r>
    </w:p>
    <w:p>
      <w:pPr>
        <w:spacing w:line="360" w:lineRule="auto"/>
        <w:ind w:firstLine="487" w:firstLineChars="202"/>
        <w:rPr>
          <w:rFonts w:ascii="仿宋_GB2312" w:hAnsi="仿宋_GB2312" w:eastAsia="仿宋_GB2312" w:cs="仿宋_GB2312"/>
          <w:kern w:val="0"/>
          <w:sz w:val="24"/>
        </w:rPr>
      </w:pPr>
      <w:r>
        <w:rPr>
          <w:rFonts w:hint="eastAsia" w:ascii="仿宋_GB2312" w:hAnsi="仿宋_GB2312" w:eastAsia="仿宋_GB2312" w:cs="仿宋_GB2312"/>
          <w:b/>
          <w:bCs/>
          <w:kern w:val="0"/>
          <w:sz w:val="24"/>
        </w:rPr>
        <w:t>第四条</w:t>
      </w:r>
      <w:r>
        <w:rPr>
          <w:rFonts w:hint="eastAsia" w:ascii="仿宋_GB2312" w:hAnsi="仿宋_GB2312" w:eastAsia="仿宋_GB2312" w:cs="仿宋_GB2312"/>
          <w:kern w:val="0"/>
          <w:sz w:val="24"/>
        </w:rPr>
        <w:t xml:space="preserve">  乙方的权利和义务：</w:t>
      </w:r>
    </w:p>
    <w:p>
      <w:pPr>
        <w:spacing w:line="360" w:lineRule="auto"/>
        <w:ind w:firstLine="484" w:firstLineChars="202"/>
        <w:rPr>
          <w:rFonts w:ascii="仿宋_GB2312" w:hAnsi="仿宋_GB2312" w:eastAsia="仿宋_GB2312" w:cs="仿宋_GB2312"/>
          <w:kern w:val="0"/>
          <w:sz w:val="24"/>
        </w:rPr>
      </w:pPr>
      <w:r>
        <w:rPr>
          <w:rFonts w:hint="eastAsia" w:ascii="仿宋_GB2312" w:hAnsi="仿宋_GB2312" w:eastAsia="仿宋_GB2312" w:cs="仿宋_GB2312"/>
          <w:kern w:val="0"/>
          <w:sz w:val="24"/>
        </w:rPr>
        <w:t>（一）乙方权利</w:t>
      </w:r>
    </w:p>
    <w:p>
      <w:pPr>
        <w:spacing w:line="360" w:lineRule="auto"/>
        <w:ind w:firstLine="484" w:firstLineChars="202"/>
        <w:rPr>
          <w:rFonts w:ascii="仿宋_GB2312" w:hAnsi="仿宋_GB2312" w:eastAsia="仿宋_GB2312" w:cs="仿宋_GB2312"/>
          <w:kern w:val="0"/>
          <w:sz w:val="24"/>
        </w:rPr>
      </w:pPr>
      <w:r>
        <w:rPr>
          <w:rFonts w:hint="eastAsia" w:ascii="仿宋_GB2312" w:hAnsi="仿宋_GB2312" w:eastAsia="仿宋_GB2312" w:cs="仿宋_GB2312"/>
          <w:kern w:val="0"/>
          <w:sz w:val="24"/>
        </w:rPr>
        <w:t>1.</w:t>
      </w:r>
      <w:r>
        <w:rPr>
          <w:rFonts w:hint="eastAsia" w:ascii="仿宋_GB2312" w:hAnsi="仿宋_GB2312" w:eastAsia="仿宋_GB2312" w:cs="仿宋_GB2312"/>
          <w:sz w:val="24"/>
        </w:rPr>
        <w:t xml:space="preserve"> </w:t>
      </w:r>
      <w:r>
        <w:rPr>
          <w:rFonts w:hint="eastAsia" w:ascii="仿宋_GB2312" w:hAnsi="仿宋_GB2312" w:eastAsia="仿宋_GB2312" w:cs="仿宋_GB2312"/>
          <w:kern w:val="0"/>
          <w:sz w:val="24"/>
        </w:rPr>
        <w:t>依照有关法律法规、监管规定、自律规则等，对甲方身份和提供的信息资料的真实性、准确性、完整性、有效性进行验证和审核，决定是否为甲方开立客户账户并提供相关账户服务等；采取必要措施对甲方强化身份识别。发现甲方信息存疑的，要求甲方补充提供其他证明材料；无法核实甲方真实身份或者其他可能影响开户、交易合规性的重要信息，或者核实后发现不符合协会、证券登记结算机构、证券交易场所有关规定的，拒绝为甲方开立账户、开通交易权限或者提供交易服务；</w:t>
      </w:r>
    </w:p>
    <w:p>
      <w:pPr>
        <w:spacing w:line="360" w:lineRule="auto"/>
        <w:ind w:firstLine="484" w:firstLineChars="202"/>
        <w:rPr>
          <w:rFonts w:ascii="仿宋_GB2312" w:hAnsi="仿宋_GB2312" w:eastAsia="仿宋_GB2312" w:cs="仿宋_GB2312"/>
          <w:kern w:val="0"/>
          <w:sz w:val="24"/>
        </w:rPr>
      </w:pPr>
      <w:r>
        <w:rPr>
          <w:rFonts w:hint="eastAsia" w:ascii="仿宋_GB2312" w:hAnsi="仿宋_GB2312" w:eastAsia="仿宋_GB2312" w:cs="仿宋_GB2312"/>
          <w:kern w:val="0"/>
          <w:sz w:val="24"/>
        </w:rPr>
        <w:t>2.根据有关法律法规、监管规定和自律规则的规定，制定账户管理相关的业务规定和流程，并要求甲方遵守和执行；</w:t>
      </w:r>
    </w:p>
    <w:p>
      <w:pPr>
        <w:spacing w:line="360" w:lineRule="auto"/>
        <w:ind w:firstLine="484" w:firstLineChars="202"/>
        <w:rPr>
          <w:rFonts w:ascii="仿宋_GB2312" w:hAnsi="仿宋_GB2312" w:eastAsia="仿宋_GB2312" w:cs="仿宋_GB2312"/>
          <w:kern w:val="0"/>
          <w:sz w:val="24"/>
        </w:rPr>
      </w:pPr>
      <w:r>
        <w:rPr>
          <w:rFonts w:hint="eastAsia" w:ascii="仿宋_GB2312" w:hAnsi="仿宋_GB2312" w:eastAsia="仿宋_GB2312" w:cs="仿宋_GB2312"/>
          <w:kern w:val="0"/>
          <w:sz w:val="24"/>
        </w:rPr>
        <w:t>3.如甲方利用乙方提供的账户服务从事洗钱或恐怖融资活动、内幕交易、操纵市场等违法违规活动的，乙方有权停止为甲方提供账户服务;</w:t>
      </w:r>
    </w:p>
    <w:p>
      <w:pPr>
        <w:spacing w:line="360" w:lineRule="auto"/>
        <w:ind w:firstLine="484" w:firstLineChars="202"/>
        <w:rPr>
          <w:rFonts w:ascii="仿宋_GB2312" w:hAnsi="仿宋_GB2312" w:eastAsia="仿宋_GB2312" w:cs="仿宋_GB2312"/>
          <w:kern w:val="0"/>
          <w:sz w:val="24"/>
        </w:rPr>
      </w:pPr>
      <w:r>
        <w:rPr>
          <w:rFonts w:hint="eastAsia" w:ascii="仿宋_GB2312" w:hAnsi="仿宋_GB2312" w:eastAsia="仿宋_GB2312" w:cs="仿宋_GB2312"/>
          <w:kern w:val="0"/>
          <w:sz w:val="24"/>
        </w:rPr>
        <w:t>4.享有本协议约定的其他权利。</w:t>
      </w:r>
    </w:p>
    <w:p>
      <w:pPr>
        <w:spacing w:line="360" w:lineRule="auto"/>
        <w:ind w:firstLine="484" w:firstLineChars="202"/>
        <w:rPr>
          <w:rFonts w:ascii="仿宋_GB2312" w:hAnsi="仿宋_GB2312" w:eastAsia="仿宋_GB2312" w:cs="仿宋_GB2312"/>
          <w:kern w:val="0"/>
          <w:sz w:val="24"/>
        </w:rPr>
      </w:pPr>
      <w:r>
        <w:rPr>
          <w:rFonts w:hint="eastAsia" w:ascii="仿宋_GB2312" w:hAnsi="仿宋_GB2312" w:eastAsia="仿宋_GB2312" w:cs="仿宋_GB2312"/>
          <w:kern w:val="0"/>
          <w:sz w:val="24"/>
        </w:rPr>
        <w:t>（二）乙方义务</w:t>
      </w:r>
    </w:p>
    <w:p>
      <w:pPr>
        <w:ind w:firstLine="480" w:firstLineChars="200"/>
        <w:rPr>
          <w:rFonts w:ascii="仿宋_GB2312" w:hAnsi="仿宋_GB2312" w:eastAsia="仿宋_GB2312" w:cs="仿宋_GB2312"/>
          <w:sz w:val="24"/>
        </w:rPr>
      </w:pPr>
      <w:r>
        <w:rPr>
          <w:rFonts w:hint="eastAsia" w:ascii="仿宋_GB2312" w:hAnsi="仿宋_GB2312" w:eastAsia="仿宋_GB2312" w:cs="仿宋_GB2312"/>
          <w:kern w:val="0"/>
          <w:sz w:val="24"/>
        </w:rPr>
        <w:t>1.</w:t>
      </w:r>
      <w:r>
        <w:rPr>
          <w:rFonts w:hint="eastAsia" w:ascii="仿宋_GB2312" w:hAnsi="仿宋_GB2312" w:eastAsia="仿宋_GB2312" w:cs="仿宋_GB2312"/>
          <w:sz w:val="24"/>
        </w:rPr>
        <w:t>告知甲方账户管理和使用的相关规则和规定，并进行必要的风险提示；</w:t>
      </w:r>
    </w:p>
    <w:p>
      <w:pPr>
        <w:pStyle w:val="30"/>
        <w:spacing w:line="360" w:lineRule="auto"/>
        <w:ind w:firstLine="480"/>
        <w:rPr>
          <w:rFonts w:ascii="仿宋_GB2312" w:hAnsi="仿宋_GB2312" w:eastAsia="仿宋_GB2312" w:cs="仿宋_GB2312"/>
          <w:kern w:val="0"/>
          <w:sz w:val="24"/>
        </w:rPr>
      </w:pPr>
      <w:r>
        <w:rPr>
          <w:rFonts w:hint="eastAsia" w:ascii="仿宋_GB2312" w:hAnsi="仿宋_GB2312" w:eastAsia="仿宋_GB2312" w:cs="仿宋_GB2312"/>
          <w:kern w:val="0"/>
          <w:sz w:val="24"/>
        </w:rPr>
        <w:t>2.依照有关法律法规、监管规定和自律规则的规定及甲方以乙方认可的方式发出的指令，</w:t>
      </w:r>
      <w:r>
        <w:rPr>
          <w:rFonts w:hint="eastAsia" w:ascii="仿宋_GB2312" w:hAnsi="仿宋_GB2312" w:eastAsia="仿宋_GB2312" w:cs="仿宋_GB2312"/>
          <w:sz w:val="24"/>
        </w:rPr>
        <w:t>及时、准确地为甲方办理账户开立、查询、变更和注销等手续</w:t>
      </w:r>
      <w:r>
        <w:rPr>
          <w:rFonts w:hint="eastAsia" w:ascii="仿宋_GB2312" w:hAnsi="仿宋_GB2312" w:eastAsia="仿宋_GB2312" w:cs="仿宋_GB2312"/>
          <w:kern w:val="0"/>
          <w:sz w:val="24"/>
        </w:rPr>
        <w:t>；</w:t>
      </w:r>
    </w:p>
    <w:p>
      <w:pPr>
        <w:pStyle w:val="30"/>
        <w:spacing w:line="360" w:lineRule="auto"/>
        <w:ind w:firstLine="480"/>
        <w:rPr>
          <w:rFonts w:ascii="仿宋_GB2312" w:hAnsi="仿宋_GB2312" w:eastAsia="仿宋_GB2312" w:cs="仿宋_GB2312"/>
          <w:kern w:val="0"/>
          <w:sz w:val="24"/>
        </w:rPr>
      </w:pPr>
      <w:r>
        <w:rPr>
          <w:rFonts w:hint="eastAsia" w:ascii="仿宋_GB2312" w:hAnsi="仿宋_GB2312" w:eastAsia="仿宋_GB2312" w:cs="仿宋_GB2312"/>
          <w:kern w:val="0"/>
          <w:sz w:val="24"/>
        </w:rPr>
        <w:t>3.公布咨询投诉电话，对甲方的咨询和投诉及时答复和办理；</w:t>
      </w:r>
    </w:p>
    <w:p>
      <w:pPr>
        <w:pStyle w:val="30"/>
        <w:spacing w:line="360" w:lineRule="auto"/>
        <w:ind w:firstLine="480"/>
        <w:rPr>
          <w:rFonts w:ascii="仿宋_GB2312" w:hAnsi="仿宋_GB2312" w:eastAsia="仿宋_GB2312" w:cs="仿宋_GB2312"/>
          <w:kern w:val="0"/>
          <w:sz w:val="24"/>
        </w:rPr>
      </w:pPr>
      <w:r>
        <w:rPr>
          <w:rFonts w:hint="eastAsia" w:ascii="仿宋_GB2312" w:hAnsi="仿宋_GB2312" w:eastAsia="仿宋_GB2312" w:cs="仿宋_GB2312"/>
          <w:kern w:val="0"/>
          <w:sz w:val="24"/>
        </w:rPr>
        <w:t>4.对甲方提供的申请资料、业务记录和其他信息予以保密，不得泄露、出售、传播及违背客户意愿使用客户信息，但根据有关法律法规、监管规定和自律规则的规定或国家有权机关的要求提供、披露上述信息的除外。由于乙方过错导致甲方提供的上述信息、账户密码的泄露、管理不当造成的后果、风险和损失，由乙方承担；</w:t>
      </w:r>
    </w:p>
    <w:p>
      <w:pPr>
        <w:pStyle w:val="30"/>
        <w:spacing w:line="360" w:lineRule="auto"/>
        <w:ind w:firstLine="480"/>
        <w:rPr>
          <w:rFonts w:ascii="仿宋_GB2312" w:hAnsi="仿宋_GB2312" w:eastAsia="仿宋_GB2312" w:cs="仿宋_GB2312"/>
          <w:kern w:val="0"/>
          <w:sz w:val="24"/>
        </w:rPr>
      </w:pPr>
      <w:r>
        <w:rPr>
          <w:rFonts w:hint="eastAsia" w:ascii="仿宋_GB2312" w:hAnsi="仿宋_GB2312" w:eastAsia="仿宋_GB2312" w:cs="仿宋_GB2312"/>
          <w:kern w:val="0"/>
          <w:sz w:val="24"/>
        </w:rPr>
        <w:t>5.按照有关法律法规、监管规定、自律规则的规定，履行投资者教育、适当性管理、客户回访、反洗钱和反恐怖融资等有关职责和义务；</w:t>
      </w:r>
    </w:p>
    <w:p>
      <w:pPr>
        <w:pStyle w:val="30"/>
        <w:spacing w:line="360" w:lineRule="auto"/>
        <w:ind w:firstLine="480"/>
        <w:rPr>
          <w:rFonts w:ascii="仿宋_GB2312" w:hAnsi="仿宋_GB2312" w:eastAsia="仿宋_GB2312" w:cs="仿宋_GB2312"/>
          <w:kern w:val="0"/>
          <w:sz w:val="24"/>
        </w:rPr>
      </w:pPr>
      <w:r>
        <w:rPr>
          <w:rFonts w:hint="eastAsia" w:ascii="仿宋_GB2312" w:hAnsi="仿宋_GB2312" w:eastAsia="仿宋_GB2312" w:cs="仿宋_GB2312"/>
          <w:kern w:val="0"/>
          <w:sz w:val="24"/>
        </w:rPr>
        <w:t>6.</w:t>
      </w:r>
      <w:r>
        <w:rPr>
          <w:rFonts w:hint="eastAsia" w:ascii="仿宋_GB2312" w:hAnsi="仿宋_GB2312" w:eastAsia="仿宋_GB2312" w:cs="仿宋_GB2312"/>
          <w:sz w:val="24"/>
        </w:rPr>
        <w:t xml:space="preserve"> </w:t>
      </w:r>
      <w:r>
        <w:rPr>
          <w:rFonts w:hint="eastAsia" w:ascii="仿宋_GB2312" w:hAnsi="仿宋_GB2312" w:eastAsia="仿宋_GB2312" w:cs="仿宋_GB2312"/>
          <w:kern w:val="0"/>
          <w:sz w:val="24"/>
        </w:rPr>
        <w:t>履行法律法规、监管规定、自律规则要求以及本协议约定的其他义务。</w:t>
      </w:r>
    </w:p>
    <w:p>
      <w:pPr>
        <w:pStyle w:val="30"/>
        <w:spacing w:line="360" w:lineRule="auto"/>
        <w:ind w:firstLine="482"/>
        <w:jc w:val="center"/>
        <w:rPr>
          <w:rFonts w:ascii="仿宋_GB2312" w:hAnsi="仿宋_GB2312" w:eastAsia="仿宋_GB2312" w:cs="仿宋_GB2312"/>
          <w:b/>
          <w:kern w:val="0"/>
          <w:sz w:val="24"/>
        </w:rPr>
      </w:pPr>
      <w:r>
        <w:rPr>
          <w:rFonts w:hint="eastAsia" w:ascii="仿宋_GB2312" w:hAnsi="仿宋_GB2312" w:eastAsia="仿宋_GB2312" w:cs="仿宋_GB2312"/>
          <w:b/>
          <w:kern w:val="0"/>
          <w:sz w:val="24"/>
        </w:rPr>
        <w:t>第三章  账户的开立、变更和注销</w:t>
      </w:r>
    </w:p>
    <w:p>
      <w:pPr>
        <w:adjustRightInd w:val="0"/>
        <w:snapToGrid w:val="0"/>
        <w:spacing w:line="360" w:lineRule="auto"/>
        <w:ind w:firstLine="472" w:firstLineChars="196"/>
        <w:jc w:val="left"/>
        <w:rPr>
          <w:rFonts w:ascii="仿宋_GB2312" w:hAnsi="仿宋_GB2312" w:eastAsia="仿宋_GB2312" w:cs="仿宋_GB2312"/>
          <w:kern w:val="0"/>
          <w:sz w:val="24"/>
        </w:rPr>
      </w:pPr>
      <w:r>
        <w:rPr>
          <w:rFonts w:hint="eastAsia" w:ascii="仿宋_GB2312" w:hAnsi="仿宋_GB2312" w:eastAsia="仿宋_GB2312" w:cs="仿宋_GB2312"/>
          <w:b/>
          <w:bCs/>
          <w:sz w:val="24"/>
        </w:rPr>
        <w:t xml:space="preserve">第五条  </w:t>
      </w:r>
      <w:r>
        <w:rPr>
          <w:rFonts w:hint="eastAsia" w:ascii="仿宋_GB2312" w:hAnsi="仿宋_GB2312" w:eastAsia="仿宋_GB2312" w:cs="仿宋_GB2312"/>
          <w:kern w:val="0"/>
          <w:sz w:val="24"/>
        </w:rPr>
        <w:t>乙方可以在营业场所内为甲方现场开立账户，也可以按照相关规定，通过见证、网上及中国证监会认可的其他方式为甲方开立账户。乙方代理证券登记结算机构或有关法律法规、监管规定和自律规则确认的其他机构，为甲方开立证券账户或其他账户的，应遵循相关规定。</w:t>
      </w:r>
    </w:p>
    <w:p>
      <w:pPr>
        <w:adjustRightInd w:val="0"/>
        <w:snapToGrid w:val="0"/>
        <w:spacing w:line="360" w:lineRule="auto"/>
        <w:ind w:firstLine="472" w:firstLineChars="196"/>
        <w:jc w:val="left"/>
        <w:rPr>
          <w:rFonts w:ascii="仿宋_GB2312" w:hAnsi="仿宋_GB2312" w:eastAsia="仿宋_GB2312" w:cs="仿宋_GB2312"/>
          <w:kern w:val="0"/>
          <w:sz w:val="24"/>
        </w:rPr>
      </w:pPr>
      <w:r>
        <w:rPr>
          <w:rFonts w:hint="eastAsia" w:ascii="仿宋_GB2312" w:hAnsi="仿宋_GB2312" w:eastAsia="仿宋_GB2312" w:cs="仿宋_GB2312"/>
          <w:b/>
          <w:bCs/>
          <w:kern w:val="0"/>
          <w:sz w:val="24"/>
        </w:rPr>
        <w:t>第六条</w:t>
      </w:r>
      <w:r>
        <w:rPr>
          <w:rFonts w:hint="eastAsia" w:ascii="仿宋_GB2312" w:hAnsi="仿宋_GB2312" w:eastAsia="仿宋_GB2312" w:cs="仿宋_GB2312"/>
          <w:kern w:val="0"/>
          <w:sz w:val="24"/>
        </w:rPr>
        <w:t xml:space="preserve">  甲方在申请开立账户时，须出具真实有效的身份证明文件，按照乙方业务规定，如实提供和填写有关信息资料，配合乙方留存相关复印件或影印件、采集影像资料等工作。甲方委托他人代理开户时，代理人须提供真实有效的身份证明文件、授权委托文件。其中，自然人委托他人代为办理开户的，代理人应当提供经公证的授权委托文件。</w:t>
      </w:r>
    </w:p>
    <w:p>
      <w:pPr>
        <w:adjustRightInd w:val="0"/>
        <w:snapToGrid w:val="0"/>
        <w:spacing w:line="360" w:lineRule="auto"/>
        <w:ind w:firstLine="470" w:firstLineChars="196"/>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乙方从事证券经纪业务，按照账户实名制要求，依法为甲方开立客户账户。</w:t>
      </w:r>
    </w:p>
    <w:p>
      <w:pPr>
        <w:spacing w:line="360" w:lineRule="auto"/>
        <w:ind w:firstLine="555"/>
        <w:jc w:val="left"/>
        <w:rPr>
          <w:rFonts w:ascii="仿宋_GB2312" w:hAnsi="仿宋_GB2312" w:eastAsia="仿宋_GB2312" w:cs="仿宋_GB2312"/>
          <w:kern w:val="0"/>
          <w:sz w:val="24"/>
        </w:rPr>
      </w:pPr>
      <w:r>
        <w:rPr>
          <w:rFonts w:hint="eastAsia" w:ascii="仿宋_GB2312" w:hAnsi="仿宋_GB2312" w:eastAsia="仿宋_GB2312" w:cs="仿宋_GB2312"/>
          <w:b/>
          <w:bCs/>
          <w:kern w:val="0"/>
          <w:sz w:val="24"/>
        </w:rPr>
        <w:t>第七条</w:t>
      </w:r>
      <w:r>
        <w:rPr>
          <w:rFonts w:hint="eastAsia" w:ascii="仿宋_GB2312" w:hAnsi="仿宋_GB2312" w:eastAsia="仿宋_GB2312" w:cs="仿宋_GB2312"/>
          <w:kern w:val="0"/>
          <w:sz w:val="24"/>
        </w:rPr>
        <w:t xml:space="preserve">  甲方在申请开立账户时，应自行设置密码并妥善保管，避免使用简单的字符组合或本人姓名、生日、电话号码等相关信息作为密码。甲方应当定期修改密码，并充分认识由于密码设置过于简单而可能导致的风险。</w:t>
      </w:r>
    </w:p>
    <w:p>
      <w:pPr>
        <w:spacing w:line="360" w:lineRule="auto"/>
        <w:ind w:firstLine="555"/>
        <w:jc w:val="left"/>
        <w:rPr>
          <w:rFonts w:ascii="仿宋_GB2312" w:hAnsi="仿宋_GB2312" w:eastAsia="仿宋_GB2312" w:cs="仿宋_GB2312"/>
          <w:kern w:val="0"/>
          <w:sz w:val="24"/>
        </w:rPr>
      </w:pPr>
      <w:r>
        <w:rPr>
          <w:rFonts w:hint="eastAsia" w:ascii="仿宋_GB2312" w:hAnsi="仿宋_GB2312" w:eastAsia="仿宋_GB2312" w:cs="仿宋_GB2312"/>
          <w:b/>
          <w:bCs/>
          <w:kern w:val="0"/>
          <w:sz w:val="24"/>
        </w:rPr>
        <w:t xml:space="preserve">第八条  </w:t>
      </w:r>
      <w:r>
        <w:rPr>
          <w:rFonts w:hint="eastAsia" w:ascii="仿宋_GB2312" w:hAnsi="仿宋_GB2312" w:eastAsia="仿宋_GB2312" w:cs="仿宋_GB2312"/>
          <w:kern w:val="0"/>
          <w:sz w:val="24"/>
        </w:rPr>
        <w:t>甲方须配合乙方就账户开立等有关事宜对甲方进行回访。甲方申请开立的账户须在回访确认后方可使用。当甲方存在账户交易权限新增、账户使用异常、资金划转异常、证券交易异常等情形时，甲方须配合乙方对甲方进行的回访。如因甲方未能及时以乙方认可方式接受回访而导致的后果、风险和损失，由甲方承担。</w:t>
      </w:r>
    </w:p>
    <w:p>
      <w:pPr>
        <w:spacing w:line="360" w:lineRule="auto"/>
        <w:ind w:firstLine="555"/>
        <w:jc w:val="left"/>
        <w:rPr>
          <w:rFonts w:ascii="仿宋_GB2312" w:hAnsi="仿宋_GB2312" w:eastAsia="仿宋_GB2312" w:cs="仿宋_GB2312"/>
          <w:sz w:val="24"/>
        </w:rPr>
      </w:pPr>
      <w:r>
        <w:rPr>
          <w:rFonts w:hint="eastAsia" w:ascii="仿宋_GB2312" w:hAnsi="仿宋_GB2312" w:eastAsia="仿宋_GB2312" w:cs="仿宋_GB2312"/>
          <w:b/>
          <w:bCs/>
          <w:kern w:val="0"/>
          <w:sz w:val="24"/>
        </w:rPr>
        <w:t xml:space="preserve">第九条  </w:t>
      </w:r>
      <w:r>
        <w:rPr>
          <w:rFonts w:hint="eastAsia" w:ascii="仿宋_GB2312" w:hAnsi="仿宋_GB2312" w:eastAsia="仿宋_GB2312" w:cs="仿宋_GB2312"/>
          <w:kern w:val="0"/>
          <w:sz w:val="24"/>
        </w:rPr>
        <w:t>乙方</w:t>
      </w:r>
      <w:r>
        <w:rPr>
          <w:rFonts w:hint="eastAsia" w:ascii="仿宋_GB2312" w:hAnsi="仿宋_GB2312" w:eastAsia="仿宋_GB2312" w:cs="仿宋_GB2312"/>
          <w:sz w:val="24"/>
        </w:rPr>
        <w:t>根据适当性管理规定对甲方进行分类，甲方（如为普通投资者）</w:t>
      </w:r>
      <w:r>
        <w:rPr>
          <w:rFonts w:hint="eastAsia" w:ascii="仿宋_GB2312" w:hAnsi="仿宋_GB2312" w:eastAsia="仿宋_GB2312" w:cs="仿宋_GB2312"/>
          <w:kern w:val="0"/>
          <w:sz w:val="24"/>
        </w:rPr>
        <w:t>须配合乙方进行风险承受能力评估，并定期重新进行风险承受能力评估。乙方须将评估的结果告知甲方，评估方式可以采用纸质或电子方式。甲方可向乙方查询评估的结果。</w:t>
      </w:r>
    </w:p>
    <w:p>
      <w:pPr>
        <w:spacing w:line="360" w:lineRule="auto"/>
        <w:ind w:firstLine="555"/>
        <w:jc w:val="left"/>
        <w:rPr>
          <w:rFonts w:ascii="仿宋_GB2312" w:hAnsi="仿宋_GB2312" w:eastAsia="仿宋_GB2312" w:cs="仿宋_GB2312"/>
          <w:sz w:val="24"/>
        </w:rPr>
      </w:pPr>
      <w:r>
        <w:rPr>
          <w:rFonts w:hint="eastAsia" w:ascii="仿宋_GB2312" w:hAnsi="仿宋_GB2312" w:eastAsia="仿宋_GB2312" w:cs="仿宋_GB2312"/>
          <w:b/>
          <w:bCs/>
          <w:sz w:val="24"/>
        </w:rPr>
        <w:t>第十条</w:t>
      </w:r>
      <w:r>
        <w:rPr>
          <w:rFonts w:hint="eastAsia" w:ascii="仿宋_GB2312" w:hAnsi="仿宋_GB2312" w:eastAsia="仿宋_GB2312" w:cs="仿宋_GB2312"/>
          <w:sz w:val="24"/>
        </w:rPr>
        <w:t xml:space="preserve">  甲方在申请开立账户时，应当如实按乙方要求向乙方提供如下信息，包括但不限于基本信息、财务状况、金融资产状况、投资知识和经验、专业能力、交易需求、风险偏好、以往交易合规等情况。</w:t>
      </w:r>
    </w:p>
    <w:p>
      <w:pPr>
        <w:spacing w:line="360" w:lineRule="auto"/>
        <w:ind w:firstLine="555"/>
        <w:jc w:val="left"/>
        <w:rPr>
          <w:rFonts w:ascii="仿宋_GB2312" w:hAnsi="仿宋_GB2312" w:eastAsia="仿宋_GB2312" w:cs="仿宋_GB2312"/>
          <w:sz w:val="24"/>
        </w:rPr>
      </w:pPr>
      <w:r>
        <w:rPr>
          <w:rFonts w:hint="eastAsia" w:ascii="仿宋_GB2312" w:hAnsi="仿宋_GB2312" w:eastAsia="仿宋_GB2312" w:cs="仿宋_GB2312"/>
          <w:sz w:val="24"/>
        </w:rPr>
        <w:t>若甲方为法人、非法人组织的，还应当按照规定提供其业务性质、股权及控制权结构、受益所有人等信息。若甲方为金融产品的，还应当按照规定提供产品结构、产品期限、收益特征，以及委托人、投资顾问、受益所有人信息、金融产品的审批或者备案信息。若甲方未如实提供上述信息的，应承担相应的法律责任。</w:t>
      </w:r>
    </w:p>
    <w:p>
      <w:pPr>
        <w:spacing w:line="360" w:lineRule="auto"/>
        <w:ind w:firstLine="555"/>
        <w:jc w:val="left"/>
        <w:rPr>
          <w:rFonts w:ascii="仿宋_GB2312" w:hAnsi="仿宋_GB2312" w:eastAsia="仿宋_GB2312" w:cs="仿宋_GB2312"/>
          <w:sz w:val="24"/>
        </w:rPr>
      </w:pPr>
      <w:r>
        <w:rPr>
          <w:rFonts w:hint="eastAsia" w:ascii="仿宋_GB2312" w:hAnsi="仿宋_GB2312" w:eastAsia="仿宋_GB2312" w:cs="仿宋_GB2312"/>
          <w:b/>
          <w:bCs/>
          <w:sz w:val="24"/>
        </w:rPr>
        <w:t xml:space="preserve">第十一条 </w:t>
      </w:r>
      <w:r>
        <w:rPr>
          <w:rFonts w:hint="eastAsia" w:ascii="仿宋_GB2312" w:hAnsi="仿宋_GB2312" w:eastAsia="仿宋_GB2312" w:cs="仿宋_GB2312"/>
          <w:sz w:val="24"/>
        </w:rPr>
        <w:t>甲方变更上述相关信息时，应当及时通知乙方，并按乙方要求办理变更手续。</w:t>
      </w:r>
    </w:p>
    <w:p>
      <w:pPr>
        <w:spacing w:line="360" w:lineRule="auto"/>
        <w:ind w:firstLine="555"/>
        <w:jc w:val="left"/>
        <w:rPr>
          <w:rFonts w:ascii="仿宋_GB2312" w:hAnsi="仿宋_GB2312" w:eastAsia="仿宋_GB2312" w:cs="仿宋_GB2312"/>
          <w:sz w:val="24"/>
        </w:rPr>
      </w:pPr>
      <w:r>
        <w:rPr>
          <w:rFonts w:hint="eastAsia" w:ascii="仿宋_GB2312" w:hAnsi="仿宋_GB2312" w:eastAsia="仿宋_GB2312" w:cs="仿宋_GB2312"/>
          <w:b/>
          <w:bCs/>
          <w:kern w:val="0"/>
          <w:sz w:val="24"/>
        </w:rPr>
        <w:t xml:space="preserve">第十二条 </w:t>
      </w:r>
      <w:r>
        <w:rPr>
          <w:rFonts w:hint="eastAsia" w:ascii="仿宋_GB2312" w:hAnsi="仿宋_GB2312" w:eastAsia="仿宋_GB2312" w:cs="仿宋_GB2312"/>
          <w:kern w:val="0"/>
          <w:sz w:val="24"/>
        </w:rPr>
        <w:t>甲方申请变更客户姓名/名称、身份证明文件类型及号码等基本信息时</w:t>
      </w:r>
      <w:r>
        <w:rPr>
          <w:rFonts w:hint="eastAsia" w:ascii="仿宋_GB2312" w:hAnsi="仿宋_GB2312" w:eastAsia="仿宋_GB2312" w:cs="仿宋_GB2312"/>
          <w:sz w:val="24"/>
        </w:rPr>
        <w:t>，</w:t>
      </w:r>
      <w:r>
        <w:rPr>
          <w:rFonts w:hint="eastAsia" w:ascii="仿宋_GB2312" w:hAnsi="仿宋_GB2312" w:eastAsia="仿宋_GB2312" w:cs="仿宋_GB2312"/>
          <w:kern w:val="0"/>
          <w:sz w:val="24"/>
        </w:rPr>
        <w:t>应经乙方重新进行身份识别和审核后办理</w:t>
      </w:r>
      <w:r>
        <w:rPr>
          <w:rFonts w:hint="eastAsia" w:ascii="仿宋_GB2312" w:hAnsi="仿宋_GB2312" w:eastAsia="仿宋_GB2312" w:cs="仿宋_GB2312"/>
          <w:sz w:val="24"/>
        </w:rPr>
        <w:t>。在以下所有条件均满足时，甲方可以向乙方申请注销其客户账户：</w:t>
      </w:r>
    </w:p>
    <w:p>
      <w:pPr>
        <w:spacing w:line="360" w:lineRule="auto"/>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1.账户内托管资产余额为零；</w:t>
      </w:r>
    </w:p>
    <w:p>
      <w:pPr>
        <w:spacing w:line="360" w:lineRule="auto"/>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2.账户内交易的结算、交收等均已经完成；</w:t>
      </w:r>
    </w:p>
    <w:p>
      <w:pPr>
        <w:spacing w:line="360" w:lineRule="auto"/>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3.账户不存在任何未解除的限制措施；</w:t>
      </w:r>
    </w:p>
    <w:p>
      <w:pPr>
        <w:spacing w:line="360" w:lineRule="auto"/>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4.账户不存在任何未了结的债权债务；</w:t>
      </w:r>
    </w:p>
    <w:p>
      <w:pPr>
        <w:spacing w:line="360" w:lineRule="auto"/>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5.</w:t>
      </w:r>
      <w:r>
        <w:rPr>
          <w:rFonts w:hint="eastAsia" w:ascii="仿宋_GB2312" w:hAnsi="仿宋_GB2312" w:eastAsia="仿宋_GB2312" w:cs="仿宋_GB2312"/>
          <w:kern w:val="0"/>
          <w:sz w:val="24"/>
        </w:rPr>
        <w:t>相关法律法规、监管规定和自律规则</w:t>
      </w:r>
      <w:r>
        <w:rPr>
          <w:rFonts w:hint="eastAsia" w:ascii="仿宋_GB2312" w:hAnsi="仿宋_GB2312" w:eastAsia="仿宋_GB2312" w:cs="仿宋_GB2312"/>
          <w:sz w:val="24"/>
        </w:rPr>
        <w:t>或双方约定的其他情形。</w:t>
      </w:r>
    </w:p>
    <w:p>
      <w:pPr>
        <w:spacing w:line="360" w:lineRule="auto"/>
        <w:ind w:firstLine="482" w:firstLineChars="200"/>
        <w:rPr>
          <w:rFonts w:ascii="仿宋_GB2312" w:hAnsi="仿宋_GB2312" w:eastAsia="仿宋_GB2312" w:cs="仿宋_GB2312"/>
          <w:sz w:val="24"/>
        </w:rPr>
      </w:pPr>
      <w:r>
        <w:rPr>
          <w:rFonts w:hint="eastAsia" w:ascii="仿宋_GB2312" w:hAnsi="仿宋_GB2312" w:eastAsia="仿宋_GB2312" w:cs="仿宋_GB2312"/>
          <w:b/>
          <w:bCs/>
          <w:sz w:val="24"/>
        </w:rPr>
        <w:t>第十三条</w:t>
      </w:r>
      <w:r>
        <w:rPr>
          <w:rFonts w:hint="eastAsia" w:ascii="仿宋_GB2312" w:hAnsi="仿宋_GB2312" w:eastAsia="仿宋_GB2312" w:cs="仿宋_GB2312"/>
          <w:sz w:val="24"/>
        </w:rPr>
        <w:t xml:space="preserve">  甲方向乙方提出转户、销户的，应按乙方业务规定，并经乙方重新进行身份识别和审核后，采取乙方认可且符合监管规定</w:t>
      </w:r>
      <w:r>
        <w:rPr>
          <w:rFonts w:hint="eastAsia" w:ascii="仿宋_GB2312" w:hAnsi="仿宋_GB2312" w:eastAsia="仿宋_GB2312" w:cs="仿宋_GB2312"/>
          <w:kern w:val="0"/>
          <w:sz w:val="24"/>
        </w:rPr>
        <w:t>方式</w:t>
      </w:r>
      <w:r>
        <w:rPr>
          <w:rFonts w:hint="eastAsia" w:ascii="仿宋_GB2312" w:hAnsi="仿宋_GB2312" w:eastAsia="仿宋_GB2312" w:cs="仿宋_GB2312"/>
          <w:sz w:val="24"/>
        </w:rPr>
        <w:t>办理。</w:t>
      </w:r>
    </w:p>
    <w:p>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乙方根据甲方要求办理账户注销手续后，甲方不得再使用注销账户进行证券交易。甲方使用注销账户进行证券交易所产生的后果及损失，由甲方自行承担。</w:t>
      </w:r>
    </w:p>
    <w:p>
      <w:pPr>
        <w:spacing w:line="360" w:lineRule="auto"/>
        <w:ind w:firstLine="482" w:firstLineChars="200"/>
        <w:jc w:val="center"/>
        <w:rPr>
          <w:rFonts w:ascii="仿宋_GB2312" w:hAnsi="仿宋_GB2312" w:eastAsia="仿宋_GB2312" w:cs="仿宋_GB2312"/>
          <w:b/>
          <w:sz w:val="24"/>
        </w:rPr>
      </w:pPr>
      <w:r>
        <w:rPr>
          <w:rFonts w:hint="eastAsia" w:ascii="仿宋_GB2312" w:hAnsi="仿宋_GB2312" w:eastAsia="仿宋_GB2312" w:cs="仿宋_GB2312"/>
          <w:b/>
          <w:bCs/>
          <w:kern w:val="0"/>
          <w:sz w:val="24"/>
        </w:rPr>
        <w:t>第四章  账户的使用和管理</w:t>
      </w:r>
    </w:p>
    <w:p>
      <w:pPr>
        <w:spacing w:line="360" w:lineRule="auto"/>
        <w:ind w:firstLine="482" w:firstLineChars="200"/>
        <w:rPr>
          <w:rFonts w:ascii="仿宋_GB2312" w:hAnsi="仿宋_GB2312" w:eastAsia="仿宋_GB2312" w:cs="仿宋_GB2312"/>
          <w:bCs/>
          <w:kern w:val="0"/>
          <w:sz w:val="24"/>
        </w:rPr>
      </w:pPr>
      <w:r>
        <w:rPr>
          <w:rFonts w:hint="eastAsia" w:ascii="仿宋_GB2312" w:hAnsi="仿宋_GB2312" w:eastAsia="仿宋_GB2312" w:cs="仿宋_GB2312"/>
          <w:b/>
          <w:kern w:val="0"/>
          <w:sz w:val="24"/>
        </w:rPr>
        <w:t>第十四条</w:t>
      </w:r>
      <w:r>
        <w:rPr>
          <w:rFonts w:hint="eastAsia" w:ascii="仿宋_GB2312" w:hAnsi="仿宋_GB2312" w:eastAsia="仿宋_GB2312" w:cs="仿宋_GB2312"/>
          <w:bCs/>
          <w:kern w:val="0"/>
          <w:sz w:val="24"/>
        </w:rPr>
        <w:t xml:space="preserve">  乙方为甲方开立的账户用于记录甲方所参与金融活动的相关信息，包括但不限于证券交易、金融投资等金融活动产生的清算交收、收益分配、支付结算、计付利息等。</w:t>
      </w:r>
    </w:p>
    <w:p>
      <w:pPr>
        <w:spacing w:line="360" w:lineRule="auto"/>
        <w:ind w:firstLine="482" w:firstLineChars="200"/>
        <w:rPr>
          <w:rFonts w:ascii="仿宋_GB2312" w:hAnsi="仿宋_GB2312" w:eastAsia="仿宋_GB2312" w:cs="仿宋_GB2312"/>
          <w:kern w:val="0"/>
          <w:sz w:val="24"/>
        </w:rPr>
      </w:pPr>
      <w:r>
        <w:rPr>
          <w:rFonts w:hint="eastAsia" w:ascii="仿宋_GB2312" w:hAnsi="仿宋_GB2312" w:eastAsia="仿宋_GB2312" w:cs="仿宋_GB2312"/>
          <w:b/>
          <w:bCs/>
          <w:kern w:val="0"/>
          <w:sz w:val="24"/>
        </w:rPr>
        <w:t xml:space="preserve">第十五条  </w:t>
      </w:r>
      <w:r>
        <w:rPr>
          <w:rFonts w:hint="eastAsia" w:ascii="仿宋_GB2312" w:hAnsi="仿宋_GB2312" w:eastAsia="仿宋_GB2312" w:cs="仿宋_GB2312"/>
          <w:kern w:val="0"/>
          <w:sz w:val="24"/>
        </w:rPr>
        <w:t>乙方按照有关法律法规、监管规定、自律规则及双方约定，对甲方账户计付利息，收取交易佣金并代收印花税等其他相关税费。</w:t>
      </w:r>
    </w:p>
    <w:p>
      <w:pPr>
        <w:spacing w:line="360" w:lineRule="auto"/>
        <w:ind w:firstLine="482" w:firstLineChars="200"/>
        <w:rPr>
          <w:rFonts w:ascii="仿宋_GB2312" w:hAnsi="仿宋_GB2312" w:eastAsia="仿宋_GB2312" w:cs="仿宋_GB2312"/>
          <w:bCs/>
          <w:kern w:val="0"/>
          <w:sz w:val="24"/>
        </w:rPr>
      </w:pPr>
      <w:r>
        <w:rPr>
          <w:rFonts w:hint="eastAsia" w:ascii="仿宋_GB2312" w:hAnsi="仿宋_GB2312" w:eastAsia="仿宋_GB2312" w:cs="仿宋_GB2312"/>
          <w:b/>
          <w:kern w:val="0"/>
          <w:sz w:val="24"/>
        </w:rPr>
        <w:t>第十六条</w:t>
      </w:r>
      <w:r>
        <w:rPr>
          <w:rFonts w:hint="eastAsia" w:ascii="仿宋_GB2312" w:hAnsi="仿宋_GB2312" w:eastAsia="仿宋_GB2312" w:cs="仿宋_GB2312"/>
          <w:bCs/>
          <w:kern w:val="0"/>
          <w:sz w:val="24"/>
        </w:rPr>
        <w:t xml:space="preserve">  甲方存取资金应符合国家法律法规及中国人民银行、国家外汇管理局、中国证监会等监管机构的有关规定。</w:t>
      </w:r>
    </w:p>
    <w:p>
      <w:pPr>
        <w:spacing w:line="360" w:lineRule="auto"/>
        <w:ind w:firstLine="482" w:firstLineChars="200"/>
        <w:rPr>
          <w:rFonts w:ascii="仿宋_GB2312" w:hAnsi="仿宋_GB2312" w:eastAsia="仿宋_GB2312" w:cs="仿宋_GB2312"/>
          <w:bCs/>
          <w:kern w:val="0"/>
          <w:sz w:val="24"/>
        </w:rPr>
      </w:pPr>
      <w:r>
        <w:rPr>
          <w:rFonts w:hint="eastAsia" w:ascii="仿宋_GB2312" w:hAnsi="仿宋_GB2312" w:eastAsia="仿宋_GB2312" w:cs="仿宋_GB2312"/>
          <w:b/>
          <w:kern w:val="0"/>
          <w:sz w:val="24"/>
        </w:rPr>
        <w:t>第十七条</w:t>
      </w:r>
      <w:r>
        <w:rPr>
          <w:rFonts w:hint="eastAsia" w:ascii="仿宋_GB2312" w:hAnsi="仿宋_GB2312" w:eastAsia="仿宋_GB2312" w:cs="仿宋_GB2312"/>
          <w:bCs/>
          <w:kern w:val="0"/>
          <w:sz w:val="24"/>
        </w:rPr>
        <w:t xml:space="preserve">  为保护甲方权益，甲方在操作账户时，如果连续输错密码等达到乙方规定次数的，乙方有权限制密码输入、暂停该委托方式甚至冻结账户。甲方账户的解冻事宜按照乙方业务规定处理，由此造成的损失由甲方自行承担。</w:t>
      </w:r>
    </w:p>
    <w:p>
      <w:pPr>
        <w:spacing w:line="360" w:lineRule="auto"/>
        <w:ind w:firstLine="482" w:firstLineChars="200"/>
        <w:rPr>
          <w:rFonts w:ascii="仿宋_GB2312" w:hAnsi="仿宋_GB2312" w:eastAsia="仿宋_GB2312" w:cs="仿宋_GB2312"/>
          <w:kern w:val="0"/>
          <w:sz w:val="24"/>
        </w:rPr>
      </w:pPr>
      <w:r>
        <w:rPr>
          <w:rFonts w:hint="eastAsia" w:ascii="仿宋_GB2312" w:hAnsi="仿宋_GB2312" w:eastAsia="仿宋_GB2312" w:cs="仿宋_GB2312"/>
          <w:b/>
          <w:bCs/>
          <w:kern w:val="0"/>
          <w:sz w:val="24"/>
        </w:rPr>
        <w:t>第十八条</w:t>
      </w:r>
      <w:r>
        <w:rPr>
          <w:rFonts w:hint="eastAsia" w:ascii="仿宋_GB2312" w:hAnsi="仿宋_GB2312" w:eastAsia="仿宋_GB2312" w:cs="仿宋_GB2312"/>
          <w:kern w:val="0"/>
          <w:sz w:val="24"/>
        </w:rPr>
        <w:t xml:space="preserve">  甲方应当妥善保管账户密码。甲方使用密码进行的操作视为本人操作。</w:t>
      </w:r>
      <w:r>
        <w:rPr>
          <w:rFonts w:hint="eastAsia" w:ascii="仿宋_GB2312" w:hAnsi="仿宋_GB2312" w:eastAsia="仿宋_GB2312" w:cs="仿宋_GB2312"/>
          <w:sz w:val="24"/>
        </w:rPr>
        <w:t>甲方使用密码办理的文件签署、信息变更等行为和转账、交易等所产生的电子信息记录，视为上述各项行为或交易的合法有效凭证。</w:t>
      </w:r>
    </w:p>
    <w:p>
      <w:pPr>
        <w:spacing w:line="360" w:lineRule="auto"/>
        <w:ind w:firstLine="482" w:firstLineChars="200"/>
        <w:rPr>
          <w:rFonts w:ascii="仿宋_GB2312" w:hAnsi="仿宋_GB2312" w:eastAsia="仿宋_GB2312" w:cs="仿宋_GB2312"/>
          <w:kern w:val="0"/>
          <w:sz w:val="24"/>
        </w:rPr>
      </w:pPr>
      <w:r>
        <w:rPr>
          <w:rFonts w:hint="eastAsia" w:ascii="仿宋_GB2312" w:hAnsi="仿宋_GB2312" w:eastAsia="仿宋_GB2312" w:cs="仿宋_GB2312"/>
          <w:b/>
          <w:bCs/>
          <w:kern w:val="0"/>
          <w:sz w:val="24"/>
        </w:rPr>
        <w:t>第十九条</w:t>
      </w:r>
      <w:r>
        <w:rPr>
          <w:rFonts w:hint="eastAsia" w:ascii="仿宋_GB2312" w:hAnsi="仿宋_GB2312" w:eastAsia="仿宋_GB2312" w:cs="仿宋_GB2312"/>
          <w:kern w:val="0"/>
          <w:sz w:val="24"/>
        </w:rPr>
        <w:t xml:space="preserve">  当甲方遗失账户资料、账户密码，或发现有他人冒用、盗用等异常或可疑情况时，甲方应及时向乙方办理挂失或密码重置，在挂失或密码重置生效前已经发生的交易或损失由甲方自行承担。如因乙方未及时办理，造成甲方损失扩大的，乙方应对损失扩大的部分做出赔偿。</w:t>
      </w:r>
    </w:p>
    <w:p>
      <w:pPr>
        <w:spacing w:line="360" w:lineRule="auto"/>
        <w:ind w:firstLine="487" w:firstLineChars="202"/>
        <w:rPr>
          <w:rFonts w:ascii="仿宋_GB2312" w:hAnsi="仿宋_GB2312" w:eastAsia="仿宋_GB2312" w:cs="仿宋_GB2312"/>
          <w:kern w:val="0"/>
          <w:sz w:val="24"/>
        </w:rPr>
      </w:pPr>
      <w:r>
        <w:rPr>
          <w:rFonts w:hint="eastAsia" w:ascii="仿宋_GB2312" w:hAnsi="仿宋_GB2312" w:eastAsia="仿宋_GB2312" w:cs="仿宋_GB2312"/>
          <w:b/>
          <w:bCs/>
          <w:kern w:val="0"/>
          <w:sz w:val="24"/>
        </w:rPr>
        <w:t>第二十条</w:t>
      </w:r>
      <w:r>
        <w:rPr>
          <w:rFonts w:hint="eastAsia" w:ascii="仿宋_GB2312" w:hAnsi="仿宋_GB2312" w:eastAsia="仿宋_GB2312" w:cs="仿宋_GB2312"/>
          <w:kern w:val="0"/>
          <w:sz w:val="24"/>
        </w:rPr>
        <w:t xml:space="preserve">  甲方可以依照法律法规、</w:t>
      </w:r>
      <w:r>
        <w:rPr>
          <w:rFonts w:hint="eastAsia" w:ascii="仿宋_GB2312" w:hAnsi="仿宋_GB2312" w:eastAsia="仿宋_GB2312" w:cs="仿宋_GB2312"/>
          <w:sz w:val="24"/>
        </w:rPr>
        <w:t>监管规定</w:t>
      </w:r>
      <w:r>
        <w:rPr>
          <w:rFonts w:hint="eastAsia" w:ascii="仿宋_GB2312" w:hAnsi="仿宋_GB2312" w:eastAsia="仿宋_GB2312" w:cs="仿宋_GB2312"/>
          <w:kern w:val="0"/>
          <w:sz w:val="24"/>
        </w:rPr>
        <w:t>和自律规则的规定及乙方业务规定，授权代理人为其办理相关业务，并可以乙方认可的方式撤销上述授权。甲方授权代理人在授权期限及范围内办理的相关业务，视同甲方本人所为。</w:t>
      </w:r>
    </w:p>
    <w:p>
      <w:pPr>
        <w:spacing w:line="360" w:lineRule="auto"/>
        <w:ind w:firstLine="487" w:firstLineChars="202"/>
        <w:rPr>
          <w:rFonts w:ascii="仿宋_GB2312" w:hAnsi="仿宋_GB2312" w:eastAsia="仿宋_GB2312" w:cs="仿宋_GB2312"/>
          <w:kern w:val="0"/>
          <w:sz w:val="24"/>
        </w:rPr>
      </w:pPr>
      <w:r>
        <w:rPr>
          <w:rFonts w:hint="eastAsia" w:ascii="仿宋_GB2312" w:hAnsi="仿宋_GB2312" w:eastAsia="仿宋_GB2312" w:cs="仿宋_GB2312"/>
          <w:b/>
          <w:kern w:val="0"/>
          <w:sz w:val="24"/>
        </w:rPr>
        <w:t xml:space="preserve">第二十一条 </w:t>
      </w:r>
      <w:r>
        <w:rPr>
          <w:rFonts w:hint="eastAsia" w:ascii="仿宋_GB2312" w:hAnsi="仿宋_GB2312" w:eastAsia="仿宋_GB2312" w:cs="仿宋_GB2312"/>
          <w:b/>
          <w:bCs/>
          <w:kern w:val="0"/>
          <w:sz w:val="24"/>
        </w:rPr>
        <w:t xml:space="preserve"> </w:t>
      </w:r>
      <w:r>
        <w:rPr>
          <w:rFonts w:hint="eastAsia" w:ascii="仿宋_GB2312" w:hAnsi="仿宋_GB2312" w:eastAsia="仿宋_GB2312" w:cs="仿宋_GB2312"/>
          <w:kern w:val="0"/>
          <w:sz w:val="24"/>
        </w:rPr>
        <w:t>乙方有权对甲方留存的账户资料规范性、账户使用情况进行监测与核查。</w:t>
      </w:r>
    </w:p>
    <w:p>
      <w:pPr>
        <w:spacing w:line="360" w:lineRule="auto"/>
        <w:ind w:firstLine="487" w:firstLineChars="202"/>
        <w:rPr>
          <w:rFonts w:ascii="仿宋_GB2312" w:hAnsi="仿宋_GB2312" w:eastAsia="仿宋_GB2312" w:cs="仿宋_GB2312"/>
          <w:kern w:val="0"/>
          <w:sz w:val="24"/>
        </w:rPr>
      </w:pPr>
      <w:r>
        <w:rPr>
          <w:rFonts w:hint="eastAsia" w:ascii="仿宋_GB2312" w:hAnsi="仿宋_GB2312" w:eastAsia="仿宋_GB2312" w:cs="仿宋_GB2312"/>
          <w:b/>
          <w:bCs/>
          <w:kern w:val="0"/>
          <w:sz w:val="24"/>
        </w:rPr>
        <w:t>第二十二条</w:t>
      </w:r>
      <w:r>
        <w:rPr>
          <w:rFonts w:hint="eastAsia" w:ascii="仿宋_GB2312" w:hAnsi="仿宋_GB2312" w:eastAsia="仿宋_GB2312" w:cs="仿宋_GB2312"/>
          <w:kern w:val="0"/>
          <w:sz w:val="24"/>
        </w:rPr>
        <w:t xml:space="preserve"> 甲方有下列情形之一的，乙方有权对甲方账户采取包括但不限于限制买入、限制转出、限制转托管、限制撤销指定交易、暂停办理新业务、暂停或终止提供证券交易服务等措施，由此造成的任何后果、风险和损失，均由甲方自行承担：</w:t>
      </w:r>
    </w:p>
    <w:p>
      <w:pPr>
        <w:spacing w:line="360" w:lineRule="auto"/>
        <w:ind w:firstLine="484" w:firstLineChars="202"/>
        <w:rPr>
          <w:rFonts w:ascii="仿宋_GB2312" w:hAnsi="仿宋_GB2312" w:eastAsia="仿宋_GB2312" w:cs="仿宋_GB2312"/>
          <w:kern w:val="0"/>
          <w:sz w:val="24"/>
        </w:rPr>
      </w:pPr>
      <w:r>
        <w:rPr>
          <w:rFonts w:hint="eastAsia" w:ascii="仿宋_GB2312" w:hAnsi="仿宋_GB2312" w:eastAsia="仿宋_GB2312" w:cs="仿宋_GB2312"/>
          <w:kern w:val="0"/>
          <w:sz w:val="24"/>
        </w:rPr>
        <w:t>1.有证据表明甲方已开立的账户存在虚假姓名/名称、虚假证件或冒名开立的情况；</w:t>
      </w:r>
    </w:p>
    <w:p>
      <w:pPr>
        <w:spacing w:line="360" w:lineRule="auto"/>
        <w:ind w:firstLine="484" w:firstLineChars="202"/>
        <w:rPr>
          <w:rFonts w:ascii="仿宋_GB2312" w:hAnsi="仿宋_GB2312" w:eastAsia="仿宋_GB2312" w:cs="仿宋_GB2312"/>
          <w:kern w:val="0"/>
          <w:sz w:val="24"/>
        </w:rPr>
      </w:pPr>
      <w:r>
        <w:rPr>
          <w:rFonts w:hint="eastAsia" w:ascii="仿宋_GB2312" w:hAnsi="仿宋_GB2312" w:eastAsia="仿宋_GB2312" w:cs="仿宋_GB2312"/>
          <w:kern w:val="0"/>
          <w:sz w:val="24"/>
        </w:rPr>
        <w:t>2.乙方发现甲方的</w:t>
      </w:r>
      <w:r>
        <w:rPr>
          <w:rFonts w:hint="eastAsia" w:ascii="仿宋_GB2312" w:hAnsi="仿宋_GB2312" w:eastAsia="仿宋_GB2312" w:cs="仿宋_GB2312"/>
          <w:sz w:val="24"/>
        </w:rPr>
        <w:t>姓名或名称、有效身份证明文件及号码等</w:t>
      </w:r>
      <w:r>
        <w:rPr>
          <w:rFonts w:hint="eastAsia" w:ascii="仿宋_GB2312" w:hAnsi="仿宋_GB2312" w:eastAsia="仿宋_GB2312" w:cs="仿宋_GB2312"/>
          <w:kern w:val="0"/>
          <w:sz w:val="24"/>
        </w:rPr>
        <w:t>基本信息、身份证明文件有效期过期需要变更的，甲方未在6个月内办理基本信息变更手续或未在身份证明文件过期90个自然日内办理身份证明文件有效期变更手续，且没有提出合理理由的；</w:t>
      </w:r>
    </w:p>
    <w:p>
      <w:pPr>
        <w:pStyle w:val="7"/>
        <w:ind w:firstLine="480" w:firstLineChars="200"/>
        <w:rPr>
          <w:rFonts w:ascii="仿宋_GB2312" w:hAnsi="仿宋_GB2312" w:eastAsia="仿宋_GB2312" w:cs="仿宋_GB2312"/>
          <w:kern w:val="0"/>
          <w:sz w:val="24"/>
        </w:rPr>
      </w:pPr>
      <w:r>
        <w:rPr>
          <w:rFonts w:hint="eastAsia" w:ascii="仿宋_GB2312" w:hAnsi="仿宋_GB2312" w:eastAsia="仿宋_GB2312" w:cs="仿宋_GB2312"/>
          <w:kern w:val="0"/>
          <w:sz w:val="24"/>
        </w:rPr>
        <w:t>3.乙方发现甲方存在非实名使用</w:t>
      </w:r>
      <w:r>
        <w:rPr>
          <w:rFonts w:hint="eastAsia" w:ascii="仿宋_GB2312" w:hAnsi="仿宋_GB2312" w:eastAsia="仿宋_GB2312" w:cs="仿宋_GB2312"/>
          <w:sz w:val="24"/>
        </w:rPr>
        <w:t>账户或使用过程中存在违法违规行为、或者拒绝配合乙方账户核查工作的；</w:t>
      </w:r>
    </w:p>
    <w:p>
      <w:pPr>
        <w:spacing w:line="360" w:lineRule="auto"/>
        <w:ind w:firstLine="484" w:firstLineChars="202"/>
        <w:rPr>
          <w:rFonts w:ascii="仿宋_GB2312" w:hAnsi="仿宋_GB2312" w:eastAsia="仿宋_GB2312" w:cs="仿宋_GB2312"/>
          <w:kern w:val="0"/>
          <w:sz w:val="24"/>
        </w:rPr>
      </w:pPr>
      <w:r>
        <w:rPr>
          <w:rFonts w:hint="eastAsia" w:ascii="仿宋_GB2312" w:hAnsi="仿宋_GB2312" w:eastAsia="仿宋_GB2312" w:cs="仿宋_GB2312"/>
          <w:kern w:val="0"/>
          <w:sz w:val="24"/>
        </w:rPr>
        <w:t>4. 乙方发现甲方的资金来源涉嫌违法、资金来源不明、大额资金划转异常，且甲方拒绝配合乙方开展客户身份重新识别工作的；</w:t>
      </w:r>
    </w:p>
    <w:p>
      <w:pPr>
        <w:spacing w:line="360" w:lineRule="auto"/>
        <w:ind w:firstLine="484" w:firstLineChars="202"/>
        <w:rPr>
          <w:rFonts w:ascii="仿宋_GB2312" w:hAnsi="仿宋_GB2312" w:eastAsia="仿宋_GB2312" w:cs="仿宋_GB2312"/>
          <w:kern w:val="0"/>
          <w:sz w:val="24"/>
        </w:rPr>
      </w:pPr>
      <w:r>
        <w:rPr>
          <w:rFonts w:hint="eastAsia" w:ascii="仿宋_GB2312" w:hAnsi="仿宋_GB2312" w:eastAsia="仿宋_GB2312" w:cs="仿宋_GB2312"/>
          <w:kern w:val="0"/>
          <w:sz w:val="24"/>
        </w:rPr>
        <w:t>5.有关法律法规、监管规定和自律规则规定的乙方可对甲方采取相应措施的其他情形。</w:t>
      </w:r>
    </w:p>
    <w:p>
      <w:pPr>
        <w:spacing w:line="360" w:lineRule="auto"/>
        <w:ind w:firstLine="487" w:firstLineChars="202"/>
        <w:jc w:val="center"/>
        <w:rPr>
          <w:rFonts w:ascii="仿宋_GB2312" w:hAnsi="仿宋_GB2312" w:eastAsia="仿宋_GB2312" w:cs="仿宋_GB2312"/>
          <w:b/>
          <w:kern w:val="0"/>
          <w:sz w:val="24"/>
        </w:rPr>
      </w:pPr>
      <w:r>
        <w:rPr>
          <w:rFonts w:hint="eastAsia" w:ascii="仿宋_GB2312" w:hAnsi="仿宋_GB2312" w:eastAsia="仿宋_GB2312" w:cs="仿宋_GB2312"/>
          <w:b/>
          <w:kern w:val="0"/>
          <w:sz w:val="24"/>
        </w:rPr>
        <w:t>第五章  违约责任及免责条款</w:t>
      </w:r>
    </w:p>
    <w:p>
      <w:pPr>
        <w:pStyle w:val="30"/>
        <w:spacing w:line="360" w:lineRule="auto"/>
        <w:ind w:firstLine="487" w:firstLineChars="202"/>
        <w:rPr>
          <w:rFonts w:ascii="仿宋_GB2312" w:hAnsi="仿宋_GB2312" w:eastAsia="仿宋_GB2312" w:cs="仿宋_GB2312"/>
          <w:kern w:val="0"/>
          <w:sz w:val="24"/>
        </w:rPr>
      </w:pPr>
      <w:r>
        <w:rPr>
          <w:rFonts w:hint="eastAsia" w:ascii="仿宋_GB2312" w:hAnsi="仿宋_GB2312" w:eastAsia="仿宋_GB2312" w:cs="仿宋_GB2312"/>
          <w:b/>
          <w:bCs/>
          <w:kern w:val="0"/>
          <w:sz w:val="24"/>
        </w:rPr>
        <w:t>第二十三条</w:t>
      </w:r>
      <w:r>
        <w:rPr>
          <w:rFonts w:hint="eastAsia" w:ascii="仿宋_GB2312" w:hAnsi="仿宋_GB2312" w:eastAsia="仿宋_GB2312" w:cs="仿宋_GB2312"/>
          <w:kern w:val="0"/>
          <w:sz w:val="24"/>
        </w:rPr>
        <w:t xml:space="preserve">  本协议签订后，任何一方不履行或不完全履行本协议约定条款的，即构成违约。违约方应当负责赔偿其违约行为给另一方造成的损失。任何一方违约时，另一方有权要求违约方继续履行本协议。</w:t>
      </w:r>
    </w:p>
    <w:p>
      <w:pPr>
        <w:pStyle w:val="30"/>
        <w:spacing w:line="360" w:lineRule="auto"/>
        <w:ind w:firstLine="487" w:firstLineChars="202"/>
        <w:rPr>
          <w:rFonts w:ascii="仿宋_GB2312" w:hAnsi="仿宋_GB2312" w:eastAsia="仿宋_GB2312" w:cs="仿宋_GB2312"/>
          <w:kern w:val="0"/>
          <w:sz w:val="24"/>
        </w:rPr>
      </w:pPr>
      <w:r>
        <w:rPr>
          <w:rFonts w:hint="eastAsia" w:ascii="仿宋_GB2312" w:hAnsi="仿宋_GB2312" w:eastAsia="仿宋_GB2312" w:cs="仿宋_GB2312"/>
          <w:b/>
          <w:bCs/>
          <w:kern w:val="0"/>
          <w:sz w:val="24"/>
        </w:rPr>
        <w:t xml:space="preserve">第二十四条  </w:t>
      </w:r>
      <w:r>
        <w:rPr>
          <w:rFonts w:hint="eastAsia" w:ascii="仿宋_GB2312" w:hAnsi="仿宋_GB2312" w:eastAsia="仿宋_GB2312" w:cs="仿宋_GB2312"/>
          <w:kern w:val="0"/>
          <w:sz w:val="24"/>
        </w:rPr>
        <w:t>因地震、台风、水灾、火灾、战争、瘟疫、社会动乱及其他不可抗力因素导致的一方损失，另一方不承担任何赔偿责任。</w:t>
      </w:r>
    </w:p>
    <w:p>
      <w:pPr>
        <w:pStyle w:val="30"/>
        <w:spacing w:line="360" w:lineRule="auto"/>
        <w:ind w:firstLine="487" w:firstLineChars="202"/>
        <w:rPr>
          <w:rFonts w:ascii="仿宋_GB2312" w:hAnsi="仿宋_GB2312" w:eastAsia="仿宋_GB2312" w:cs="仿宋_GB2312"/>
          <w:kern w:val="0"/>
          <w:sz w:val="24"/>
        </w:rPr>
      </w:pPr>
      <w:r>
        <w:rPr>
          <w:rFonts w:hint="eastAsia" w:ascii="仿宋_GB2312" w:hAnsi="仿宋_GB2312" w:eastAsia="仿宋_GB2312" w:cs="仿宋_GB2312"/>
          <w:b/>
          <w:bCs/>
          <w:kern w:val="0"/>
          <w:sz w:val="24"/>
        </w:rPr>
        <w:t>第二十五条</w:t>
      </w:r>
      <w:r>
        <w:rPr>
          <w:rFonts w:hint="eastAsia" w:ascii="仿宋_GB2312" w:hAnsi="仿宋_GB2312" w:eastAsia="仿宋_GB2312" w:cs="仿宋_GB2312"/>
          <w:kern w:val="0"/>
          <w:sz w:val="24"/>
        </w:rPr>
        <w:t xml:space="preserve">  因乙方不可预测或无法控制的系统故障、设备故障、通讯故障、电力故障等突发事故及其他非乙方人为因素，以及监管部门和自律组织等规定的其他免责情形，给甲方造成的损失，乙方如无过错则不承担任何赔偿责任。</w:t>
      </w:r>
    </w:p>
    <w:p>
      <w:pPr>
        <w:pStyle w:val="30"/>
        <w:spacing w:line="360" w:lineRule="auto"/>
        <w:ind w:firstLine="487" w:firstLineChars="202"/>
        <w:rPr>
          <w:rFonts w:ascii="仿宋_GB2312" w:hAnsi="仿宋_GB2312" w:eastAsia="仿宋_GB2312" w:cs="仿宋_GB2312"/>
          <w:kern w:val="0"/>
          <w:sz w:val="24"/>
        </w:rPr>
      </w:pPr>
      <w:r>
        <w:rPr>
          <w:rFonts w:hint="eastAsia" w:ascii="仿宋_GB2312" w:hAnsi="仿宋_GB2312" w:eastAsia="仿宋_GB2312" w:cs="仿宋_GB2312"/>
          <w:b/>
          <w:bCs/>
          <w:kern w:val="0"/>
          <w:sz w:val="24"/>
        </w:rPr>
        <w:t>第二十六条</w:t>
      </w:r>
      <w:r>
        <w:rPr>
          <w:rFonts w:hint="eastAsia" w:ascii="仿宋_GB2312" w:hAnsi="仿宋_GB2312" w:eastAsia="仿宋_GB2312" w:cs="仿宋_GB2312"/>
          <w:sz w:val="24"/>
        </w:rPr>
        <w:t xml:space="preserve">  </w:t>
      </w:r>
      <w:r>
        <w:rPr>
          <w:rFonts w:hint="eastAsia" w:ascii="仿宋_GB2312" w:hAnsi="仿宋_GB2312" w:eastAsia="仿宋_GB2312" w:cs="仿宋_GB2312"/>
          <w:kern w:val="0"/>
          <w:sz w:val="24"/>
        </w:rPr>
        <w:t>本协议第二十四、第二十五条所述事件发生后，乙方应当及时采取措施防止甲方损失进一步扩大的可能。</w:t>
      </w:r>
    </w:p>
    <w:p>
      <w:pPr>
        <w:spacing w:line="360" w:lineRule="auto"/>
        <w:ind w:firstLine="482" w:firstLineChars="200"/>
        <w:jc w:val="center"/>
        <w:rPr>
          <w:rFonts w:ascii="仿宋_GB2312" w:hAnsi="仿宋_GB2312" w:eastAsia="仿宋_GB2312" w:cs="仿宋_GB2312"/>
          <w:b/>
          <w:kern w:val="0"/>
          <w:sz w:val="24"/>
        </w:rPr>
      </w:pPr>
      <w:r>
        <w:rPr>
          <w:rFonts w:hint="eastAsia" w:ascii="仿宋_GB2312" w:hAnsi="仿宋_GB2312" w:eastAsia="仿宋_GB2312" w:cs="仿宋_GB2312"/>
          <w:b/>
          <w:kern w:val="0"/>
          <w:sz w:val="24"/>
        </w:rPr>
        <w:t>第六章　纠纷解决</w:t>
      </w:r>
    </w:p>
    <w:p>
      <w:pPr>
        <w:spacing w:line="360" w:lineRule="auto"/>
        <w:ind w:firstLine="482" w:firstLineChars="200"/>
        <w:rPr>
          <w:rFonts w:ascii="仿宋_GB2312" w:hAnsi="仿宋_GB2312" w:eastAsia="仿宋_GB2312" w:cs="仿宋_GB2312"/>
          <w:kern w:val="0"/>
          <w:sz w:val="24"/>
        </w:rPr>
      </w:pPr>
      <w:r>
        <w:rPr>
          <w:rFonts w:hint="eastAsia" w:ascii="仿宋_GB2312" w:hAnsi="仿宋_GB2312" w:eastAsia="仿宋_GB2312" w:cs="仿宋_GB2312"/>
          <w:b/>
          <w:bCs/>
          <w:kern w:val="0"/>
          <w:sz w:val="24"/>
        </w:rPr>
        <w:t>第二十七条</w:t>
      </w:r>
      <w:r>
        <w:rPr>
          <w:rFonts w:hint="eastAsia" w:ascii="仿宋_GB2312" w:hAnsi="仿宋_GB2312" w:eastAsia="仿宋_GB2312" w:cs="仿宋_GB2312"/>
          <w:kern w:val="0"/>
          <w:sz w:val="24"/>
        </w:rPr>
        <w:t xml:space="preserve">  如出现涉及甲方财产继承或财产归属的事宜或纠纷，乙方将按公证机关出具的公证文件或司法机关出具的生效裁判文书办理，有关法律法规、监管规定、自律规则以及乙方业务规则另有规定的除外。</w:t>
      </w:r>
    </w:p>
    <w:p>
      <w:pPr>
        <w:spacing w:line="360" w:lineRule="auto"/>
        <w:ind w:firstLine="482" w:firstLineChars="200"/>
        <w:rPr>
          <w:rFonts w:ascii="仿宋_GB2312" w:hAnsi="仿宋_GB2312" w:eastAsia="仿宋_GB2312" w:cs="仿宋_GB2312"/>
          <w:kern w:val="0"/>
          <w:sz w:val="24"/>
        </w:rPr>
      </w:pPr>
      <w:r>
        <w:rPr>
          <w:rFonts w:hint="eastAsia" w:ascii="仿宋_GB2312" w:hAnsi="仿宋_GB2312" w:eastAsia="仿宋_GB2312" w:cs="仿宋_GB2312"/>
          <w:b/>
          <w:bCs/>
          <w:kern w:val="0"/>
          <w:sz w:val="24"/>
        </w:rPr>
        <w:t>第二十八条</w:t>
      </w:r>
      <w:r>
        <w:rPr>
          <w:rFonts w:hint="eastAsia" w:ascii="仿宋_GB2312" w:hAnsi="仿宋_GB2312" w:eastAsia="仿宋_GB2312" w:cs="仿宋_GB2312"/>
          <w:kern w:val="0"/>
          <w:sz w:val="24"/>
        </w:rPr>
        <w:t xml:space="preserve">  本协议未尽事宜，按照法律法规、监管规定、自律规则的规定协商解决。</w:t>
      </w:r>
    </w:p>
    <w:p>
      <w:pPr>
        <w:spacing w:line="360" w:lineRule="auto"/>
        <w:ind w:firstLine="482" w:firstLineChars="200"/>
        <w:rPr>
          <w:rFonts w:ascii="仿宋_GB2312" w:hAnsi="仿宋_GB2312" w:eastAsia="仿宋_GB2312" w:cs="仿宋_GB2312"/>
          <w:bCs/>
          <w:sz w:val="24"/>
        </w:rPr>
      </w:pPr>
      <w:r>
        <w:rPr>
          <w:rFonts w:hint="eastAsia" w:ascii="仿宋_GB2312" w:hAnsi="仿宋_GB2312" w:eastAsia="仿宋_GB2312" w:cs="仿宋_GB2312"/>
          <w:b/>
          <w:bCs/>
          <w:kern w:val="0"/>
          <w:sz w:val="24"/>
        </w:rPr>
        <w:t>第二十九条</w:t>
      </w:r>
      <w:r>
        <w:rPr>
          <w:rFonts w:hint="eastAsia" w:ascii="仿宋_GB2312" w:hAnsi="仿宋_GB2312" w:eastAsia="仿宋_GB2312" w:cs="仿宋_GB2312"/>
          <w:kern w:val="0"/>
          <w:sz w:val="24"/>
        </w:rPr>
        <w:t xml:space="preserve">  </w:t>
      </w:r>
      <w:r>
        <w:rPr>
          <w:rFonts w:hint="eastAsia" w:ascii="仿宋_GB2312" w:hAnsi="仿宋_GB2312" w:eastAsia="仿宋_GB2312" w:cs="仿宋_GB2312"/>
          <w:bCs/>
          <w:sz w:val="24"/>
        </w:rPr>
        <w:t>本协议执行中发生的争议，甲乙双方可以自行协商解决或向证券纠纷调解机构申请调解，若协商或调解不成，双方同意按以下第【  】种方式解决：（如甲方不作选择，即默认为选择2）</w:t>
      </w:r>
    </w:p>
    <w:p>
      <w:pPr>
        <w:spacing w:line="360" w:lineRule="auto"/>
        <w:ind w:firstLine="480" w:firstLineChars="200"/>
        <w:rPr>
          <w:rFonts w:ascii="仿宋_GB2312" w:hAnsi="仿宋_GB2312" w:eastAsia="仿宋_GB2312" w:cs="仿宋_GB2312"/>
          <w:bCs/>
          <w:sz w:val="24"/>
        </w:rPr>
      </w:pPr>
      <w:r>
        <w:rPr>
          <w:rFonts w:hint="eastAsia" w:ascii="仿宋_GB2312" w:hAnsi="仿宋_GB2312" w:eastAsia="仿宋_GB2312" w:cs="仿宋_GB2312"/>
          <w:bCs/>
          <w:sz w:val="24"/>
        </w:rPr>
        <w:t>1.提交乙方所在地仲裁委员会仲裁；</w:t>
      </w:r>
    </w:p>
    <w:p>
      <w:pPr>
        <w:spacing w:line="360" w:lineRule="auto"/>
        <w:ind w:firstLine="480" w:firstLineChars="200"/>
        <w:rPr>
          <w:rFonts w:ascii="仿宋_GB2312" w:hAnsi="仿宋_GB2312" w:eastAsia="仿宋_GB2312" w:cs="仿宋_GB2312"/>
          <w:bCs/>
          <w:sz w:val="24"/>
        </w:rPr>
      </w:pPr>
      <w:r>
        <w:rPr>
          <w:rFonts w:hint="eastAsia" w:ascii="仿宋_GB2312" w:hAnsi="仿宋_GB2312" w:eastAsia="仿宋_GB2312" w:cs="仿宋_GB2312"/>
          <w:bCs/>
          <w:sz w:val="24"/>
        </w:rPr>
        <w:t>2.向乙方所在地人民法院提起诉讼。</w:t>
      </w:r>
    </w:p>
    <w:p>
      <w:pPr>
        <w:spacing w:line="360" w:lineRule="auto"/>
        <w:ind w:firstLine="482" w:firstLineChars="200"/>
        <w:jc w:val="center"/>
        <w:rPr>
          <w:rFonts w:ascii="仿宋_GB2312" w:hAnsi="仿宋_GB2312" w:eastAsia="仿宋_GB2312" w:cs="仿宋_GB2312"/>
          <w:b/>
          <w:bCs/>
          <w:sz w:val="24"/>
        </w:rPr>
      </w:pPr>
      <w:r>
        <w:rPr>
          <w:rFonts w:hint="eastAsia" w:ascii="仿宋_GB2312" w:hAnsi="仿宋_GB2312" w:eastAsia="仿宋_GB2312" w:cs="仿宋_GB2312"/>
          <w:b/>
          <w:kern w:val="0"/>
          <w:sz w:val="24"/>
        </w:rPr>
        <w:t>第七章  协议的生效、变更和终止</w:t>
      </w:r>
    </w:p>
    <w:p>
      <w:pPr>
        <w:spacing w:line="360" w:lineRule="auto"/>
        <w:ind w:firstLine="482" w:firstLineChars="200"/>
        <w:rPr>
          <w:rFonts w:ascii="仿宋_GB2312" w:hAnsi="仿宋_GB2312" w:eastAsia="仿宋_GB2312" w:cs="仿宋_GB2312"/>
          <w:kern w:val="0"/>
          <w:sz w:val="24"/>
        </w:rPr>
      </w:pPr>
      <w:r>
        <w:rPr>
          <w:rFonts w:hint="eastAsia" w:ascii="仿宋_GB2312" w:hAnsi="仿宋_GB2312" w:eastAsia="仿宋_GB2312" w:cs="仿宋_GB2312"/>
          <w:b/>
          <w:bCs/>
          <w:kern w:val="0"/>
          <w:sz w:val="24"/>
        </w:rPr>
        <w:t>第三十条</w:t>
      </w:r>
      <w:r>
        <w:rPr>
          <w:rFonts w:hint="eastAsia" w:ascii="仿宋_GB2312" w:hAnsi="仿宋_GB2312" w:eastAsia="仿宋_GB2312" w:cs="仿宋_GB2312"/>
          <w:kern w:val="0"/>
          <w:sz w:val="24"/>
        </w:rPr>
        <w:t xml:space="preserve">  本协议可采用电子或纸质方式签署。</w:t>
      </w:r>
    </w:p>
    <w:p>
      <w:pPr>
        <w:spacing w:line="360" w:lineRule="auto"/>
        <w:ind w:firstLine="480" w:firstLineChars="200"/>
        <w:rPr>
          <w:rFonts w:ascii="仿宋_GB2312" w:hAnsi="仿宋_GB2312" w:eastAsia="仿宋_GB2312" w:cs="仿宋_GB2312"/>
          <w:kern w:val="0"/>
          <w:sz w:val="24"/>
        </w:rPr>
      </w:pPr>
      <w:r>
        <w:rPr>
          <w:rFonts w:hint="eastAsia" w:ascii="仿宋_GB2312" w:hAnsi="仿宋_GB2312" w:eastAsia="仿宋_GB2312" w:cs="仿宋_GB2312"/>
          <w:kern w:val="0"/>
          <w:sz w:val="24"/>
        </w:rPr>
        <w:t>采用电子方式签署本协议的，本协议自双方电子签名或签章之日起生效。甲方电子签名与在纸质合同上手写签名或盖章具有同等法律效力，无须另行签署纸质协议。</w:t>
      </w:r>
    </w:p>
    <w:p>
      <w:pPr>
        <w:spacing w:line="360" w:lineRule="auto"/>
        <w:ind w:firstLine="480" w:firstLineChars="200"/>
        <w:rPr>
          <w:rFonts w:ascii="仿宋_GB2312" w:hAnsi="仿宋_GB2312" w:eastAsia="仿宋_GB2312" w:cs="仿宋_GB2312"/>
          <w:kern w:val="0"/>
          <w:sz w:val="24"/>
        </w:rPr>
      </w:pPr>
      <w:r>
        <w:rPr>
          <w:rFonts w:hint="eastAsia" w:ascii="仿宋_GB2312" w:hAnsi="仿宋_GB2312" w:eastAsia="仿宋_GB2312" w:cs="仿宋_GB2312"/>
          <w:kern w:val="0"/>
          <w:sz w:val="24"/>
        </w:rPr>
        <w:t>采用纸质方式签署本协议的，本协议自双方签字或盖章之日起生效。本协议一式两份，甲乙双方各执一份，每份具有同等的法律效力。</w:t>
      </w:r>
    </w:p>
    <w:p>
      <w:pPr>
        <w:spacing w:line="360" w:lineRule="auto"/>
        <w:ind w:firstLine="482" w:firstLineChars="200"/>
        <w:rPr>
          <w:rFonts w:ascii="仿宋_GB2312" w:hAnsi="仿宋_GB2312" w:eastAsia="仿宋_GB2312" w:cs="仿宋_GB2312"/>
          <w:kern w:val="0"/>
          <w:sz w:val="24"/>
        </w:rPr>
      </w:pPr>
      <w:r>
        <w:rPr>
          <w:rFonts w:hint="eastAsia" w:ascii="仿宋_GB2312" w:hAnsi="仿宋_GB2312" w:eastAsia="仿宋_GB2312" w:cs="仿宋_GB2312"/>
          <w:b/>
          <w:bCs/>
          <w:kern w:val="0"/>
          <w:sz w:val="24"/>
        </w:rPr>
        <w:t>第三十一条</w:t>
      </w:r>
      <w:r>
        <w:rPr>
          <w:rFonts w:hint="eastAsia" w:ascii="仿宋_GB2312" w:hAnsi="仿宋_GB2312" w:eastAsia="仿宋_GB2312" w:cs="仿宋_GB2312"/>
          <w:kern w:val="0"/>
          <w:sz w:val="24"/>
        </w:rPr>
        <w:t xml:space="preserve">  本协议签署后，若有关法律法规、监管规定、自律规则修订，本协议相关条款与其中强制性规定发生冲突的，按新修订的法律法规、监管规定、自律规则办理，但本协议其他内容及条款继续有效。</w:t>
      </w:r>
    </w:p>
    <w:p>
      <w:pPr>
        <w:spacing w:line="360" w:lineRule="auto"/>
        <w:ind w:firstLine="482" w:firstLineChars="200"/>
        <w:rPr>
          <w:rFonts w:ascii="仿宋_GB2312" w:hAnsi="仿宋_GB2312" w:eastAsia="仿宋_GB2312" w:cs="仿宋_GB2312"/>
          <w:kern w:val="0"/>
          <w:sz w:val="24"/>
        </w:rPr>
      </w:pPr>
      <w:r>
        <w:rPr>
          <w:rFonts w:hint="eastAsia" w:ascii="仿宋_GB2312" w:hAnsi="仿宋_GB2312" w:eastAsia="仿宋_GB2312" w:cs="仿宋_GB2312"/>
          <w:b/>
          <w:bCs/>
          <w:kern w:val="0"/>
          <w:sz w:val="24"/>
        </w:rPr>
        <w:t>第三十二条</w:t>
      </w:r>
      <w:r>
        <w:rPr>
          <w:rFonts w:hint="eastAsia" w:ascii="仿宋_GB2312" w:hAnsi="仿宋_GB2312" w:eastAsia="仿宋_GB2312" w:cs="仿宋_GB2312"/>
          <w:kern w:val="0"/>
          <w:sz w:val="24"/>
        </w:rPr>
        <w:t xml:space="preserve">  本协议签署后，若前款所述法律法规、监管规定、自律规则发生修订，本协议相关条款与其中规定存在差异，乙方认为应据此修改或变更本协议的，有关内容将由乙方在公司网站、营业场所或客户端以公告方式通知甲方，若甲方在七个交易日内不提出异议，则公告内容生效，并成为本协议的有效组成部分，对甲乙双方均具有法律约束力。</w:t>
      </w:r>
    </w:p>
    <w:p>
      <w:pPr>
        <w:spacing w:line="360" w:lineRule="auto"/>
        <w:ind w:firstLine="482" w:firstLineChars="200"/>
        <w:rPr>
          <w:rFonts w:ascii="仿宋_GB2312" w:hAnsi="仿宋_GB2312" w:eastAsia="仿宋_GB2312" w:cs="仿宋_GB2312"/>
          <w:kern w:val="0"/>
          <w:sz w:val="24"/>
        </w:rPr>
      </w:pPr>
      <w:r>
        <w:rPr>
          <w:rFonts w:hint="eastAsia" w:ascii="仿宋_GB2312" w:hAnsi="仿宋_GB2312" w:eastAsia="仿宋_GB2312" w:cs="仿宋_GB2312"/>
          <w:b/>
          <w:bCs/>
          <w:kern w:val="0"/>
          <w:sz w:val="24"/>
        </w:rPr>
        <w:t>第三十三条</w:t>
      </w:r>
      <w:r>
        <w:rPr>
          <w:rFonts w:hint="eastAsia" w:ascii="仿宋_GB2312" w:hAnsi="仿宋_GB2312" w:eastAsia="仿宋_GB2312" w:cs="仿宋_GB2312"/>
          <w:kern w:val="0"/>
          <w:sz w:val="24"/>
        </w:rPr>
        <w:t xml:space="preserve">  乙方提出解除本协议的，应以向甲方发送通知（以下称为“解除通知”）的方式告知甲方，并在该解除通知中说明理由。如乙方是依照本协议第二十二条的约定解除本协议，则在乙方发出解除通知到达甲方预留的联系方式之时，本协议即解除。解除通知的方式适用本协议第三十六条的约定。</w:t>
      </w:r>
    </w:p>
    <w:p>
      <w:pPr>
        <w:spacing w:line="360" w:lineRule="auto"/>
        <w:ind w:firstLine="480" w:firstLineChars="200"/>
        <w:rPr>
          <w:rFonts w:ascii="仿宋_GB2312" w:hAnsi="仿宋_GB2312" w:eastAsia="仿宋_GB2312" w:cs="仿宋_GB2312"/>
          <w:kern w:val="0"/>
          <w:sz w:val="24"/>
        </w:rPr>
      </w:pPr>
      <w:r>
        <w:rPr>
          <w:rFonts w:hint="eastAsia" w:ascii="仿宋_GB2312" w:hAnsi="仿宋_GB2312" w:eastAsia="仿宋_GB2312" w:cs="仿宋_GB2312"/>
          <w:kern w:val="0"/>
          <w:sz w:val="24"/>
        </w:rPr>
        <w:t>甲方在收到乙方的解除通知后应按照第十二条、第十三条所约定的账户注销方式办理销户手续。在甲方收到乙方解除协议通知至甲方销户手续期间，乙方不再接受甲方除卖出持有证券及其他金融产品外的其他委托指令。</w:t>
      </w:r>
    </w:p>
    <w:p>
      <w:pPr>
        <w:spacing w:line="360" w:lineRule="auto"/>
        <w:ind w:firstLine="482" w:firstLineChars="200"/>
        <w:rPr>
          <w:rFonts w:ascii="仿宋_GB2312" w:hAnsi="仿宋_GB2312" w:eastAsia="仿宋_GB2312" w:cs="仿宋_GB2312"/>
          <w:kern w:val="0"/>
          <w:sz w:val="24"/>
        </w:rPr>
      </w:pPr>
      <w:r>
        <w:rPr>
          <w:rFonts w:hint="eastAsia" w:ascii="仿宋_GB2312" w:hAnsi="仿宋_GB2312" w:eastAsia="仿宋_GB2312" w:cs="仿宋_GB2312"/>
          <w:b/>
          <w:bCs/>
          <w:kern w:val="0"/>
          <w:sz w:val="24"/>
        </w:rPr>
        <w:t>第三十四条</w:t>
      </w:r>
      <w:r>
        <w:rPr>
          <w:rFonts w:hint="eastAsia" w:ascii="仿宋_GB2312" w:hAnsi="仿宋_GB2312" w:eastAsia="仿宋_GB2312" w:cs="仿宋_GB2312"/>
          <w:kern w:val="0"/>
          <w:sz w:val="24"/>
        </w:rPr>
        <w:t xml:space="preserve">  如甲方提出解除本协议的，应依照本协议第十二条、第十三条约定的条件和程序，办理账户注销手续。在甲方办理完账户注销手续后，本协议即告终止。甲方的销户申请应以双方事前约定或乙方认可的方式提出。在甲方提出销户申请时起，乙方不再接受甲方除卖出持有证券及其他金融产品以外的所有其他委托指令。</w:t>
      </w:r>
    </w:p>
    <w:p>
      <w:pPr>
        <w:spacing w:line="360" w:lineRule="auto"/>
        <w:ind w:firstLine="480" w:firstLineChars="200"/>
        <w:rPr>
          <w:rFonts w:ascii="仿宋_GB2312" w:hAnsi="仿宋_GB2312" w:eastAsia="仿宋_GB2312" w:cs="仿宋_GB2312"/>
          <w:kern w:val="0"/>
          <w:sz w:val="24"/>
        </w:rPr>
      </w:pPr>
      <w:r>
        <w:rPr>
          <w:rFonts w:hint="eastAsia" w:ascii="仿宋_GB2312" w:hAnsi="仿宋_GB2312" w:eastAsia="仿宋_GB2312" w:cs="仿宋_GB2312"/>
          <w:kern w:val="0"/>
          <w:sz w:val="24"/>
        </w:rPr>
        <w:t>若甲方提出异议的，乙方有权解除与甲方的客户账户开户协议。</w:t>
      </w:r>
    </w:p>
    <w:p>
      <w:pPr>
        <w:spacing w:line="360" w:lineRule="auto"/>
        <w:ind w:firstLine="482" w:firstLineChars="200"/>
        <w:rPr>
          <w:rFonts w:ascii="仿宋_GB2312" w:hAnsi="仿宋_GB2312" w:eastAsia="仿宋_GB2312" w:cs="仿宋_GB2312"/>
          <w:kern w:val="0"/>
          <w:sz w:val="24"/>
        </w:rPr>
      </w:pPr>
      <w:r>
        <w:rPr>
          <w:rFonts w:hint="eastAsia" w:ascii="仿宋_GB2312" w:hAnsi="仿宋_GB2312" w:eastAsia="仿宋_GB2312" w:cs="仿宋_GB2312"/>
          <w:b/>
          <w:bCs/>
          <w:kern w:val="0"/>
          <w:sz w:val="24"/>
        </w:rPr>
        <w:t xml:space="preserve">第三十五条  </w:t>
      </w:r>
      <w:r>
        <w:rPr>
          <w:rFonts w:hint="eastAsia" w:ascii="仿宋_GB2312" w:hAnsi="仿宋_GB2312" w:eastAsia="仿宋_GB2312" w:cs="仿宋_GB2312"/>
          <w:kern w:val="0"/>
          <w:sz w:val="24"/>
        </w:rPr>
        <w:t>如遇国家法律法规、监管规定、自律规则调整，导致乙方在本协议下为甲方提供的金融服务无法正常开展的，本协议将自国家法律法规、监管规定和自律规则的规定生效之日起自动终止，在此情况下，乙方无须对甲方承担违约责任。</w:t>
      </w:r>
    </w:p>
    <w:p>
      <w:pPr>
        <w:spacing w:line="360" w:lineRule="auto"/>
        <w:ind w:firstLine="482" w:firstLineChars="200"/>
        <w:jc w:val="center"/>
        <w:rPr>
          <w:rFonts w:ascii="仿宋_GB2312" w:hAnsi="仿宋_GB2312" w:eastAsia="仿宋_GB2312" w:cs="仿宋_GB2312"/>
          <w:b/>
          <w:kern w:val="0"/>
          <w:sz w:val="24"/>
        </w:rPr>
      </w:pPr>
      <w:r>
        <w:rPr>
          <w:rFonts w:hint="eastAsia" w:ascii="仿宋_GB2312" w:hAnsi="仿宋_GB2312" w:eastAsia="仿宋_GB2312" w:cs="仿宋_GB2312"/>
          <w:b/>
          <w:kern w:val="0"/>
          <w:sz w:val="24"/>
        </w:rPr>
        <w:t>第八章  附 则</w:t>
      </w:r>
    </w:p>
    <w:p>
      <w:pPr>
        <w:spacing w:line="360" w:lineRule="auto"/>
        <w:ind w:firstLine="482" w:firstLineChars="200"/>
        <w:rPr>
          <w:rFonts w:ascii="仿宋_GB2312" w:hAnsi="仿宋_GB2312" w:eastAsia="仿宋_GB2312" w:cs="仿宋_GB2312"/>
          <w:kern w:val="0"/>
          <w:sz w:val="24"/>
        </w:rPr>
      </w:pPr>
      <w:r>
        <w:rPr>
          <w:rFonts w:hint="eastAsia" w:ascii="仿宋_GB2312" w:hAnsi="仿宋_GB2312" w:eastAsia="仿宋_GB2312" w:cs="仿宋_GB2312"/>
          <w:b/>
          <w:bCs/>
          <w:kern w:val="0"/>
          <w:sz w:val="24"/>
        </w:rPr>
        <w:t>第三十六条</w:t>
      </w:r>
      <w:r>
        <w:rPr>
          <w:rFonts w:hint="eastAsia" w:ascii="仿宋_GB2312" w:hAnsi="仿宋_GB2312" w:eastAsia="仿宋_GB2312" w:cs="仿宋_GB2312"/>
          <w:kern w:val="0"/>
          <w:sz w:val="24"/>
        </w:rPr>
        <w:t xml:space="preserve">  本协议所指乙方的通知方式除上述条款中已有约定外，还可以是书面、电话、短信、邮件、客户端或公告等方式。</w:t>
      </w:r>
    </w:p>
    <w:p>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邮寄的书面通知自送达甲方联系地址时生效，因甲方自己提供的联系地址不准确、送达地址变更未及时告知乙方、甲方或者其指定的代理人拒绝签收，导致书面通知未能被甲方实际接收的，书面通知退回之日视为送达之日；电话通知、短信通知、邮件通知和客户端通知即时生效；公告通知在乙方公告（公告内容由乙方在其公司网站、营业场所或至少一种中国证监会指定的信息披露报刊上发布）之日起七个交易日内甲方没有提出异议的，即行生效。</w:t>
      </w:r>
    </w:p>
    <w:p>
      <w:pPr>
        <w:spacing w:line="360" w:lineRule="auto"/>
        <w:ind w:firstLine="482" w:firstLineChars="200"/>
        <w:rPr>
          <w:rFonts w:ascii="仿宋_GB2312" w:eastAsia="仿宋_GB2312"/>
          <w:sz w:val="32"/>
          <w:szCs w:val="32"/>
        </w:rPr>
      </w:pPr>
      <w:r>
        <w:rPr>
          <w:rFonts w:hint="eastAsia" w:ascii="仿宋_GB2312" w:hAnsi="仿宋_GB2312" w:eastAsia="仿宋_GB2312" w:cs="仿宋_GB2312"/>
          <w:b/>
          <w:bCs/>
          <w:sz w:val="24"/>
        </w:rPr>
        <w:t>第三十七条</w:t>
      </w:r>
      <w:r>
        <w:rPr>
          <w:rFonts w:hint="eastAsia" w:ascii="仿宋_GB2312" w:hAnsi="仿宋_GB2312" w:eastAsia="仿宋_GB2312" w:cs="仿宋_GB2312"/>
          <w:sz w:val="24"/>
        </w:rPr>
        <w:t xml:space="preserve">  </w:t>
      </w:r>
      <w:r>
        <w:rPr>
          <w:rFonts w:hint="eastAsia" w:ascii="仿宋_GB2312" w:hAnsi="仿宋_GB2312" w:eastAsia="仿宋_GB2312" w:cs="仿宋_GB2312"/>
          <w:kern w:val="0"/>
          <w:sz w:val="24"/>
        </w:rPr>
        <w:t>本协议所涉及名词、术语的解释，以法律法规的规定为准；法律法规没有解释的，适用中国证监会、证券交易场所、证券登记结算机构和协会等监管规定、自律规则及行业惯例。</w:t>
      </w:r>
      <w:r>
        <w:rPr>
          <w:rFonts w:hint="eastAsia" w:ascii="仿宋_GB2312" w:hAnsi="仿宋_GB2312" w:eastAsia="仿宋_GB2312" w:cs="仿宋_GB2312"/>
          <w:sz w:val="24"/>
        </w:rPr>
        <w:t xml:space="preserve">        </w:t>
      </w:r>
      <w:r>
        <w:rPr>
          <w:rFonts w:hint="eastAsia" w:ascii="仿宋_GB2312" w:eastAsia="仿宋_GB2312"/>
          <w:sz w:val="32"/>
          <w:szCs w:val="32"/>
        </w:rPr>
        <w:t xml:space="preserve">    </w:t>
      </w:r>
    </w:p>
    <w:p>
      <w:pPr>
        <w:tabs>
          <w:tab w:val="left" w:pos="4500"/>
        </w:tabs>
        <w:spacing w:line="360" w:lineRule="auto"/>
        <w:ind w:firstLine="482" w:firstLineChars="200"/>
        <w:rPr>
          <w:rFonts w:ascii="仿宋" w:hAnsi="仿宋" w:eastAsia="仿宋" w:cs="华文中宋"/>
          <w:b/>
          <w:bCs/>
          <w:kern w:val="0"/>
          <w:sz w:val="24"/>
        </w:rPr>
      </w:pPr>
      <w:r>
        <w:rPr>
          <w:rFonts w:hint="eastAsia" w:ascii="仿宋" w:hAnsi="仿宋" w:eastAsia="仿宋"/>
          <w:b/>
          <w:sz w:val="24"/>
        </w:rPr>
        <w:t>本投资者确认已详细阅读并完全理解了上述的各项内容，在签署页签署视同签署认可。</w:t>
      </w:r>
    </w:p>
    <w:p>
      <w:pPr>
        <w:pStyle w:val="2"/>
        <w:rPr>
          <w:rFonts w:ascii="仿宋" w:hAnsi="仿宋" w:eastAsia="仿宋" w:cs="黑体"/>
          <w:b/>
          <w:bCs/>
          <w:kern w:val="0"/>
          <w:sz w:val="28"/>
          <w:szCs w:val="28"/>
        </w:rPr>
      </w:pPr>
    </w:p>
    <w:p>
      <w:pPr>
        <w:pStyle w:val="2"/>
        <w:rPr>
          <w:rFonts w:ascii="仿宋" w:hAnsi="仿宋" w:eastAsia="仿宋" w:cs="黑体"/>
          <w:b/>
          <w:bCs/>
          <w:kern w:val="0"/>
          <w:sz w:val="28"/>
          <w:szCs w:val="28"/>
        </w:rPr>
      </w:pPr>
    </w:p>
    <w:p>
      <w:pPr>
        <w:pStyle w:val="2"/>
        <w:rPr>
          <w:rFonts w:ascii="仿宋" w:hAnsi="仿宋" w:eastAsia="仿宋" w:cs="黑体"/>
          <w:b/>
          <w:bCs/>
          <w:kern w:val="0"/>
          <w:sz w:val="28"/>
          <w:szCs w:val="28"/>
        </w:rPr>
      </w:pPr>
    </w:p>
    <w:p>
      <w:pPr>
        <w:pStyle w:val="2"/>
        <w:rPr>
          <w:rFonts w:ascii="仿宋" w:hAnsi="仿宋" w:eastAsia="仿宋" w:cs="黑体"/>
          <w:b/>
          <w:bCs/>
          <w:kern w:val="0"/>
          <w:sz w:val="28"/>
          <w:szCs w:val="28"/>
        </w:rPr>
      </w:pPr>
    </w:p>
    <w:p>
      <w:pPr>
        <w:pStyle w:val="2"/>
        <w:rPr>
          <w:rFonts w:ascii="仿宋" w:hAnsi="仿宋" w:eastAsia="仿宋" w:cs="黑体"/>
          <w:b/>
          <w:bCs/>
          <w:kern w:val="0"/>
          <w:sz w:val="28"/>
          <w:szCs w:val="28"/>
        </w:rPr>
      </w:pPr>
    </w:p>
    <w:p>
      <w:pPr>
        <w:pStyle w:val="2"/>
        <w:rPr>
          <w:rFonts w:ascii="仿宋" w:hAnsi="仿宋" w:eastAsia="仿宋" w:cs="黑体"/>
          <w:b/>
          <w:bCs/>
          <w:kern w:val="0"/>
          <w:sz w:val="28"/>
          <w:szCs w:val="28"/>
        </w:rPr>
      </w:pPr>
    </w:p>
    <w:p>
      <w:pPr>
        <w:pStyle w:val="2"/>
        <w:rPr>
          <w:rFonts w:ascii="仿宋" w:hAnsi="仿宋" w:eastAsia="仿宋" w:cs="黑体"/>
          <w:b/>
          <w:bCs/>
          <w:kern w:val="0"/>
          <w:sz w:val="28"/>
          <w:szCs w:val="28"/>
        </w:rPr>
      </w:pPr>
    </w:p>
    <w:p>
      <w:pPr>
        <w:pStyle w:val="2"/>
        <w:rPr>
          <w:rFonts w:ascii="仿宋" w:hAnsi="仿宋" w:eastAsia="仿宋" w:cs="黑体"/>
          <w:b/>
          <w:bCs/>
          <w:kern w:val="0"/>
          <w:sz w:val="28"/>
          <w:szCs w:val="28"/>
        </w:rPr>
      </w:pPr>
    </w:p>
    <w:p>
      <w:pPr>
        <w:pStyle w:val="2"/>
        <w:rPr>
          <w:rFonts w:ascii="仿宋" w:hAnsi="仿宋" w:eastAsia="仿宋" w:cs="黑体"/>
          <w:b/>
          <w:bCs/>
          <w:kern w:val="0"/>
          <w:sz w:val="28"/>
          <w:szCs w:val="28"/>
        </w:rPr>
      </w:pPr>
    </w:p>
    <w:p>
      <w:pPr>
        <w:pStyle w:val="2"/>
        <w:rPr>
          <w:rFonts w:ascii="仿宋" w:hAnsi="仿宋" w:eastAsia="仿宋" w:cs="黑体"/>
          <w:b/>
          <w:bCs/>
          <w:kern w:val="0"/>
          <w:sz w:val="28"/>
          <w:szCs w:val="28"/>
        </w:rPr>
      </w:pPr>
    </w:p>
    <w:p>
      <w:pPr>
        <w:pStyle w:val="2"/>
        <w:rPr>
          <w:rFonts w:ascii="仿宋" w:hAnsi="仿宋" w:eastAsia="仿宋" w:cs="黑体"/>
          <w:b/>
          <w:bCs/>
          <w:kern w:val="0"/>
          <w:sz w:val="28"/>
          <w:szCs w:val="28"/>
        </w:rPr>
      </w:pPr>
    </w:p>
    <w:p>
      <w:pPr>
        <w:pStyle w:val="2"/>
        <w:rPr>
          <w:rFonts w:ascii="仿宋" w:hAnsi="仿宋" w:eastAsia="仿宋" w:cs="黑体"/>
          <w:b/>
          <w:bCs/>
          <w:kern w:val="0"/>
          <w:sz w:val="28"/>
          <w:szCs w:val="28"/>
        </w:rPr>
      </w:pPr>
    </w:p>
    <w:p>
      <w:pPr>
        <w:pStyle w:val="2"/>
        <w:rPr>
          <w:rFonts w:ascii="仿宋" w:hAnsi="仿宋" w:eastAsia="仿宋" w:cs="黑体"/>
          <w:b/>
          <w:bCs/>
          <w:kern w:val="0"/>
          <w:sz w:val="28"/>
          <w:szCs w:val="28"/>
        </w:rPr>
      </w:pPr>
    </w:p>
    <w:p>
      <w:pPr>
        <w:pStyle w:val="19"/>
        <w:numPr>
          <w:ilvl w:val="0"/>
          <w:numId w:val="1"/>
        </w:numPr>
        <w:rPr>
          <w:rFonts w:ascii="仿宋" w:hAnsi="仿宋" w:eastAsia="仿宋" w:cs="黑体"/>
          <w:kern w:val="0"/>
        </w:rPr>
      </w:pPr>
      <w:bookmarkStart w:id="30" w:name="_Toc16850"/>
      <w:bookmarkStart w:id="31" w:name="_Toc24005"/>
      <w:bookmarkStart w:id="32" w:name="_Toc10811"/>
      <w:bookmarkStart w:id="33" w:name="_Toc10236"/>
      <w:bookmarkStart w:id="34" w:name="_Toc5024"/>
      <w:bookmarkStart w:id="35" w:name="_Toc5895"/>
      <w:r>
        <w:rPr>
          <w:rFonts w:hint="eastAsia" w:ascii="仿宋" w:hAnsi="仿宋" w:eastAsia="仿宋"/>
          <w:kern w:val="0"/>
        </w:rPr>
        <w:t>证券交易委托代理</w:t>
      </w:r>
      <w:r>
        <w:rPr>
          <w:rFonts w:hint="eastAsia" w:ascii="仿宋" w:hAnsi="仿宋" w:eastAsia="仿宋" w:cs="黑体"/>
          <w:kern w:val="0"/>
        </w:rPr>
        <w:t>协议</w:t>
      </w:r>
      <w:bookmarkEnd w:id="30"/>
      <w:bookmarkEnd w:id="31"/>
      <w:bookmarkEnd w:id="32"/>
      <w:bookmarkEnd w:id="33"/>
      <w:bookmarkEnd w:id="34"/>
      <w:bookmarkEnd w:id="35"/>
    </w:p>
    <w:p>
      <w:pPr>
        <w:spacing w:line="336" w:lineRule="auto"/>
        <w:ind w:firstLine="480" w:firstLineChars="200"/>
        <w:rPr>
          <w:rFonts w:ascii="仿宋" w:hAnsi="仿宋" w:eastAsia="仿宋" w:cs="仿宋"/>
          <w:kern w:val="0"/>
          <w:sz w:val="24"/>
        </w:rPr>
      </w:pPr>
      <w:r>
        <w:rPr>
          <w:rFonts w:hint="eastAsia" w:ascii="仿宋" w:hAnsi="仿宋" w:eastAsia="仿宋" w:cs="仿宋"/>
          <w:kern w:val="0"/>
          <w:sz w:val="24"/>
        </w:rPr>
        <w:t>依据</w:t>
      </w:r>
      <w:r>
        <w:rPr>
          <w:rFonts w:hint="eastAsia" w:ascii="仿宋" w:hAnsi="仿宋" w:eastAsia="仿宋" w:cs="仿宋"/>
          <w:sz w:val="24"/>
        </w:rPr>
        <w:t>《中华人民共和国民法典》《中华人民共和国证券法》《中华人民共和国反洗钱法》《中华人民共和国电子签名法》《中华人民共和国个人信息保护法》《证券期货投资者适当性管理办法》《证券经纪业务管理办法》</w:t>
      </w:r>
      <w:r>
        <w:rPr>
          <w:rFonts w:hint="eastAsia" w:ascii="仿宋" w:hAnsi="仿宋" w:eastAsia="仿宋" w:cs="仿宋"/>
          <w:kern w:val="0"/>
          <w:sz w:val="24"/>
        </w:rPr>
        <w:t>《证券经纪业务管理实施细则》</w:t>
      </w:r>
      <w:r>
        <w:rPr>
          <w:rFonts w:hint="eastAsia" w:ascii="仿宋" w:hAnsi="仿宋" w:eastAsia="仿宋" w:cs="仿宋"/>
          <w:sz w:val="24"/>
        </w:rPr>
        <w:t>以及</w:t>
      </w:r>
      <w:r>
        <w:rPr>
          <w:rFonts w:hint="eastAsia" w:ascii="仿宋" w:hAnsi="仿宋" w:eastAsia="仿宋" w:cs="仿宋"/>
          <w:kern w:val="0"/>
          <w:sz w:val="24"/>
        </w:rPr>
        <w:t>其他有关法律法规、监管规定、自律规则等，甲乙双方就甲方委托乙方代理证券（包括证券衍生品）交易及其他相关事宜达成如下协议，供双方共同遵守。</w:t>
      </w:r>
    </w:p>
    <w:p>
      <w:pPr>
        <w:pStyle w:val="19"/>
        <w:outlineLvl w:val="9"/>
        <w:rPr>
          <w:rFonts w:ascii="仿宋" w:hAnsi="仿宋" w:eastAsia="仿宋" w:cs="仿宋"/>
          <w:kern w:val="0"/>
          <w:sz w:val="24"/>
          <w:szCs w:val="24"/>
        </w:rPr>
      </w:pPr>
      <w:bookmarkStart w:id="36" w:name="_Toc10759"/>
      <w:bookmarkStart w:id="37" w:name="_Toc29036"/>
      <w:bookmarkStart w:id="38" w:name="_Toc1061"/>
      <w:bookmarkStart w:id="39" w:name="_Toc25030"/>
      <w:bookmarkStart w:id="40" w:name="_Toc26544"/>
      <w:bookmarkStart w:id="41" w:name="_Toc16995"/>
      <w:bookmarkStart w:id="42" w:name="_Toc4412"/>
      <w:r>
        <w:rPr>
          <w:rFonts w:hint="eastAsia" w:ascii="仿宋" w:hAnsi="仿宋" w:eastAsia="仿宋" w:cs="仿宋"/>
          <w:kern w:val="0"/>
          <w:sz w:val="24"/>
          <w:szCs w:val="24"/>
        </w:rPr>
        <w:t>第一章　双方声明和承诺</w:t>
      </w:r>
      <w:bookmarkEnd w:id="36"/>
      <w:bookmarkEnd w:id="37"/>
      <w:bookmarkEnd w:id="38"/>
      <w:bookmarkEnd w:id="39"/>
      <w:bookmarkEnd w:id="40"/>
      <w:bookmarkEnd w:id="41"/>
      <w:bookmarkEnd w:id="42"/>
    </w:p>
    <w:p>
      <w:pPr>
        <w:spacing w:line="336" w:lineRule="auto"/>
        <w:ind w:firstLine="482" w:firstLineChars="200"/>
        <w:rPr>
          <w:rFonts w:ascii="仿宋" w:hAnsi="仿宋" w:eastAsia="仿宋" w:cs="仿宋"/>
          <w:kern w:val="0"/>
          <w:sz w:val="24"/>
        </w:rPr>
      </w:pPr>
      <w:r>
        <w:rPr>
          <w:rFonts w:hint="eastAsia" w:ascii="仿宋" w:hAnsi="仿宋" w:eastAsia="仿宋" w:cs="仿宋"/>
          <w:b/>
          <w:bCs/>
          <w:kern w:val="0"/>
          <w:sz w:val="24"/>
        </w:rPr>
        <w:t>第一条</w:t>
      </w:r>
      <w:r>
        <w:rPr>
          <w:rFonts w:hint="eastAsia" w:ascii="仿宋" w:hAnsi="仿宋" w:eastAsia="仿宋" w:cs="仿宋"/>
          <w:kern w:val="0"/>
          <w:sz w:val="24"/>
        </w:rPr>
        <w:t xml:space="preserve">  甲方向乙方作如下声明和承诺：</w:t>
      </w:r>
    </w:p>
    <w:p>
      <w:pPr>
        <w:spacing w:line="360" w:lineRule="auto"/>
        <w:ind w:firstLine="480" w:firstLineChars="200"/>
        <w:jc w:val="left"/>
        <w:rPr>
          <w:rFonts w:ascii="仿宋" w:hAnsi="仿宋" w:eastAsia="仿宋" w:cs="仿宋"/>
          <w:kern w:val="0"/>
          <w:sz w:val="24"/>
        </w:rPr>
      </w:pPr>
      <w:r>
        <w:rPr>
          <w:rFonts w:hint="eastAsia" w:ascii="仿宋" w:hAnsi="仿宋" w:eastAsia="仿宋" w:cs="仿宋"/>
          <w:kern w:val="0"/>
          <w:sz w:val="24"/>
        </w:rPr>
        <w:t>1.甲方具有中国法律所要求的进行证券市场投资活动（以下称为“证券投资”）的主体资格，不存在中国法律法规、监管规定、自律规则等禁止或限制进行证券投资活动的情形；</w:t>
      </w:r>
    </w:p>
    <w:p>
      <w:pPr>
        <w:spacing w:line="360" w:lineRule="auto"/>
        <w:ind w:firstLine="480" w:firstLineChars="200"/>
        <w:jc w:val="left"/>
        <w:rPr>
          <w:rFonts w:ascii="仿宋" w:hAnsi="仿宋" w:eastAsia="仿宋" w:cs="仿宋"/>
          <w:kern w:val="0"/>
          <w:sz w:val="24"/>
        </w:rPr>
      </w:pPr>
      <w:r>
        <w:rPr>
          <w:rFonts w:hint="eastAsia" w:ascii="仿宋" w:hAnsi="仿宋" w:eastAsia="仿宋" w:cs="仿宋"/>
          <w:kern w:val="0"/>
          <w:sz w:val="24"/>
        </w:rPr>
        <w:t>2．甲方保证在其与乙方委托代理关系存续期内向乙方提供的所有证件、资料和其他信息均真实、准确、完整、有效, 并保证其用于证券投资活动的资金来源合法；相关信息发生变更时，应及时告知乙方，并按照乙方认可的方式重新提供或者进行修改；</w:t>
      </w:r>
    </w:p>
    <w:p>
      <w:pPr>
        <w:spacing w:line="360" w:lineRule="auto"/>
        <w:ind w:firstLine="480" w:firstLineChars="200"/>
        <w:jc w:val="left"/>
        <w:rPr>
          <w:rFonts w:ascii="仿宋" w:hAnsi="仿宋" w:eastAsia="仿宋" w:cs="仿宋"/>
          <w:kern w:val="0"/>
          <w:sz w:val="24"/>
        </w:rPr>
      </w:pPr>
      <w:r>
        <w:rPr>
          <w:rFonts w:hint="eastAsia" w:ascii="仿宋" w:hAnsi="仿宋" w:eastAsia="仿宋" w:cs="仿宋"/>
          <w:kern w:val="0"/>
          <w:sz w:val="24"/>
        </w:rPr>
        <w:t>甲方同意乙方对甲方信息进行合法验证和报送，并承担因不按规定提供、资料不实、不全或失效引致的一切后果、风险和损失；</w:t>
      </w:r>
    </w:p>
    <w:p>
      <w:pPr>
        <w:spacing w:line="360" w:lineRule="auto"/>
        <w:ind w:firstLine="480" w:firstLineChars="200"/>
        <w:jc w:val="left"/>
        <w:rPr>
          <w:rFonts w:ascii="仿宋" w:hAnsi="仿宋" w:eastAsia="仿宋" w:cs="仿宋"/>
          <w:kern w:val="0"/>
          <w:sz w:val="24"/>
        </w:rPr>
      </w:pPr>
      <w:r>
        <w:rPr>
          <w:rFonts w:hint="eastAsia" w:ascii="仿宋" w:hAnsi="仿宋" w:eastAsia="仿宋" w:cs="仿宋"/>
          <w:kern w:val="0"/>
          <w:sz w:val="24"/>
        </w:rPr>
        <w:t>3.甲方已详细阅读本协议所有条款，并准确理解其含义，特别是其中有关乙方的免责条款；甲方已阅读并充分理解乙方向其提供的《证券交易委托风险揭示书》，在清楚认识证券交易规则，了解产品或者服务情况，听取乙方适当性意见的基础上，根据自身能力审慎决策，独立承担投资风险。乙方的适当性匹配意见不表明其对产品或者服务的风险和收益做出实质性判断或者保证；</w:t>
      </w:r>
    </w:p>
    <w:p>
      <w:pPr>
        <w:spacing w:line="360" w:lineRule="auto"/>
        <w:ind w:firstLine="480" w:firstLineChars="200"/>
        <w:jc w:val="left"/>
        <w:rPr>
          <w:rFonts w:ascii="仿宋" w:hAnsi="仿宋" w:eastAsia="仿宋" w:cs="仿宋"/>
          <w:kern w:val="0"/>
          <w:sz w:val="24"/>
        </w:rPr>
      </w:pPr>
      <w:r>
        <w:rPr>
          <w:rFonts w:hint="eastAsia" w:ascii="仿宋" w:hAnsi="仿宋" w:eastAsia="仿宋" w:cs="仿宋"/>
          <w:kern w:val="0"/>
          <w:sz w:val="24"/>
        </w:rPr>
        <w:t xml:space="preserve">4.甲方购买产品或者接受服务，按监管规定或乙方要求需要提供信息的，所提供的信息应当真实、准确、完整。若甲方提供的信息发生重要变化的，应当及时告知乙方； </w:t>
      </w:r>
    </w:p>
    <w:p>
      <w:pPr>
        <w:spacing w:line="336" w:lineRule="auto"/>
        <w:ind w:firstLine="480" w:firstLineChars="200"/>
        <w:rPr>
          <w:rFonts w:ascii="仿宋" w:hAnsi="仿宋" w:eastAsia="仿宋" w:cs="仿宋"/>
          <w:sz w:val="24"/>
        </w:rPr>
      </w:pPr>
      <w:r>
        <w:rPr>
          <w:rFonts w:hint="eastAsia" w:ascii="仿宋" w:hAnsi="仿宋" w:eastAsia="仿宋" w:cs="仿宋"/>
          <w:kern w:val="0"/>
          <w:sz w:val="24"/>
        </w:rPr>
        <w:t>5.甲方承诺遵守证券市场有关法律法规、监管规定、自律规则及本协议约定,不实施异常交易行为，不影响证券交易正常秩序，合规交易，</w:t>
      </w:r>
      <w:r>
        <w:rPr>
          <w:rFonts w:hint="eastAsia" w:ascii="仿宋" w:hAnsi="仿宋" w:eastAsia="仿宋" w:cs="仿宋"/>
          <w:sz w:val="24"/>
        </w:rPr>
        <w:t>并按照乙方的相关业务流程办理业务；</w:t>
      </w:r>
    </w:p>
    <w:p>
      <w:pPr>
        <w:spacing w:line="336" w:lineRule="auto"/>
        <w:ind w:firstLine="480" w:firstLineChars="200"/>
        <w:rPr>
          <w:rFonts w:ascii="仿宋" w:hAnsi="仿宋" w:eastAsia="仿宋" w:cs="仿宋"/>
          <w:sz w:val="24"/>
        </w:rPr>
      </w:pPr>
      <w:r>
        <w:rPr>
          <w:rFonts w:hint="eastAsia" w:ascii="仿宋" w:hAnsi="仿宋" w:eastAsia="仿宋" w:cs="仿宋"/>
          <w:sz w:val="24"/>
        </w:rPr>
        <w:t>6.甲方承诺申请开立的账户用途合法,不存在违规借用他人账户或将本人账户提供给他人使用等情形；</w:t>
      </w:r>
    </w:p>
    <w:p>
      <w:pPr>
        <w:spacing w:line="336" w:lineRule="auto"/>
        <w:ind w:firstLine="480" w:firstLineChars="200"/>
        <w:rPr>
          <w:rFonts w:ascii="仿宋" w:hAnsi="仿宋" w:eastAsia="仿宋" w:cs="仿宋"/>
          <w:sz w:val="24"/>
        </w:rPr>
      </w:pPr>
      <w:r>
        <w:rPr>
          <w:rFonts w:hint="eastAsia" w:ascii="仿宋" w:hAnsi="仿宋" w:eastAsia="仿宋" w:cs="仿宋"/>
          <w:sz w:val="24"/>
        </w:rPr>
        <w:t>7.甲方同意配合乙方通过调查、回访等方式了解、核实甲方账户使用情况，并提供核实账户使用情况的必要资料；</w:t>
      </w:r>
    </w:p>
    <w:p>
      <w:pPr>
        <w:spacing w:line="336" w:lineRule="auto"/>
        <w:ind w:firstLine="480" w:firstLineChars="200"/>
        <w:rPr>
          <w:rFonts w:ascii="仿宋" w:hAnsi="仿宋" w:eastAsia="仿宋" w:cs="仿宋"/>
          <w:sz w:val="24"/>
        </w:rPr>
      </w:pPr>
      <w:r>
        <w:rPr>
          <w:rFonts w:hint="eastAsia" w:ascii="仿宋" w:hAnsi="仿宋" w:eastAsia="仿宋" w:cs="仿宋"/>
          <w:sz w:val="24"/>
        </w:rPr>
        <w:t>8.甲方同意乙方根据相关法律法规、监管规定或自律规则等规定处理甲方信息。</w:t>
      </w:r>
    </w:p>
    <w:p>
      <w:pPr>
        <w:spacing w:line="336" w:lineRule="auto"/>
        <w:ind w:firstLine="482" w:firstLineChars="200"/>
        <w:rPr>
          <w:rFonts w:ascii="仿宋" w:hAnsi="仿宋" w:eastAsia="仿宋" w:cs="仿宋"/>
          <w:kern w:val="0"/>
          <w:sz w:val="24"/>
        </w:rPr>
      </w:pPr>
      <w:r>
        <w:rPr>
          <w:rFonts w:hint="eastAsia" w:ascii="仿宋" w:hAnsi="仿宋" w:eastAsia="仿宋" w:cs="仿宋"/>
          <w:b/>
          <w:bCs/>
          <w:kern w:val="0"/>
          <w:sz w:val="24"/>
        </w:rPr>
        <w:t>第二条</w:t>
      </w:r>
      <w:r>
        <w:rPr>
          <w:rFonts w:hint="eastAsia" w:ascii="仿宋" w:hAnsi="仿宋" w:eastAsia="仿宋" w:cs="仿宋"/>
          <w:kern w:val="0"/>
          <w:sz w:val="24"/>
        </w:rPr>
        <w:t xml:space="preserve">  乙方向甲方作如下声明和承诺：</w:t>
      </w:r>
    </w:p>
    <w:p>
      <w:pPr>
        <w:spacing w:line="336" w:lineRule="auto"/>
        <w:ind w:firstLine="480" w:firstLineChars="200"/>
        <w:rPr>
          <w:rFonts w:ascii="仿宋" w:hAnsi="仿宋" w:eastAsia="仿宋" w:cs="仿宋"/>
          <w:kern w:val="0"/>
          <w:sz w:val="24"/>
        </w:rPr>
      </w:pPr>
      <w:r>
        <w:rPr>
          <w:rFonts w:hint="eastAsia" w:ascii="仿宋" w:hAnsi="仿宋" w:eastAsia="仿宋" w:cs="仿宋"/>
          <w:kern w:val="0"/>
          <w:sz w:val="24"/>
        </w:rPr>
        <w:t>1.乙方是依照中国法律设立且有效存续的证券经营机构，具有相应的证券经纪业务资格，已按相关规定实施客户交易结算资金第三方存管；</w:t>
      </w:r>
    </w:p>
    <w:p>
      <w:pPr>
        <w:spacing w:line="336" w:lineRule="auto"/>
        <w:ind w:firstLine="480" w:firstLineChars="200"/>
        <w:rPr>
          <w:rFonts w:ascii="仿宋" w:hAnsi="仿宋" w:eastAsia="仿宋" w:cs="仿宋"/>
          <w:kern w:val="0"/>
          <w:sz w:val="24"/>
        </w:rPr>
      </w:pPr>
      <w:r>
        <w:rPr>
          <w:rFonts w:hint="eastAsia" w:ascii="仿宋" w:hAnsi="仿宋" w:eastAsia="仿宋" w:cs="仿宋"/>
          <w:kern w:val="0"/>
          <w:sz w:val="24"/>
        </w:rPr>
        <w:t>2.乙方具有开展证券经纪业务的必要条件，能够依照本协议约定为甲方的证券交易提供相应的服务;</w:t>
      </w:r>
    </w:p>
    <w:p>
      <w:pPr>
        <w:spacing w:line="336" w:lineRule="auto"/>
        <w:ind w:firstLine="480" w:firstLineChars="200"/>
        <w:rPr>
          <w:rFonts w:ascii="仿宋" w:hAnsi="仿宋" w:eastAsia="仿宋" w:cs="仿宋"/>
          <w:kern w:val="0"/>
          <w:sz w:val="24"/>
        </w:rPr>
      </w:pPr>
      <w:r>
        <w:rPr>
          <w:rFonts w:hint="eastAsia" w:ascii="仿宋" w:hAnsi="仿宋" w:eastAsia="仿宋" w:cs="仿宋"/>
          <w:kern w:val="0"/>
          <w:sz w:val="24"/>
        </w:rPr>
        <w:t>3.乙方承诺遵守有关法律法规、监管规定、自律规则等，不违背甲方的委托为其买卖证券、不接受甲方的全权交易委托、私下交易委托，未经甲方委托，不擅自为甲方买卖证券，或者假借甲方的名义买卖证券；不对甲方的投资收益或亏损进行任何形式的保证，不编造或传播虚假信息误导甲方，不诱使甲方进行不必要的证券交易，不隐匿、伪造、篡改或者损毁甲方交易记录；</w:t>
      </w:r>
    </w:p>
    <w:p>
      <w:pPr>
        <w:spacing w:line="336" w:lineRule="auto"/>
        <w:ind w:firstLine="480" w:firstLineChars="200"/>
        <w:rPr>
          <w:rFonts w:ascii="仿宋" w:hAnsi="仿宋" w:eastAsia="仿宋" w:cs="仿宋"/>
          <w:sz w:val="24"/>
        </w:rPr>
      </w:pPr>
      <w:r>
        <w:rPr>
          <w:rFonts w:hint="eastAsia" w:ascii="仿宋" w:hAnsi="仿宋" w:eastAsia="仿宋" w:cs="仿宋"/>
          <w:sz w:val="24"/>
        </w:rPr>
        <w:t>4.乙方承诺将按照甲方发出的合法有效的委托，向证券交易场所或证券登记结算机构及其他金融市场登记结算机构发送委托指令；</w:t>
      </w:r>
    </w:p>
    <w:p>
      <w:pPr>
        <w:spacing w:line="336" w:lineRule="auto"/>
        <w:ind w:firstLine="480" w:firstLineChars="200"/>
        <w:rPr>
          <w:rFonts w:ascii="仿宋" w:hAnsi="仿宋" w:eastAsia="仿宋" w:cs="仿宋"/>
          <w:kern w:val="0"/>
          <w:sz w:val="24"/>
        </w:rPr>
      </w:pPr>
      <w:r>
        <w:rPr>
          <w:rFonts w:hint="eastAsia" w:ascii="仿宋" w:hAnsi="仿宋" w:eastAsia="仿宋" w:cs="仿宋"/>
          <w:kern w:val="0"/>
          <w:sz w:val="24"/>
        </w:rPr>
        <w:t>5.乙方承诺将遵守本协议，按本协议为甲方提供证券交易委托代理服务。</w:t>
      </w:r>
    </w:p>
    <w:p>
      <w:pPr>
        <w:pStyle w:val="19"/>
        <w:outlineLvl w:val="9"/>
        <w:rPr>
          <w:rFonts w:ascii="仿宋" w:hAnsi="仿宋" w:eastAsia="仿宋" w:cs="仿宋"/>
          <w:kern w:val="0"/>
          <w:sz w:val="24"/>
          <w:szCs w:val="24"/>
        </w:rPr>
      </w:pPr>
      <w:bookmarkStart w:id="43" w:name="_Toc14513"/>
      <w:bookmarkStart w:id="44" w:name="_Toc649"/>
      <w:bookmarkStart w:id="45" w:name="_Toc1966"/>
      <w:bookmarkStart w:id="46" w:name="_Toc23639"/>
      <w:bookmarkStart w:id="47" w:name="_Toc6301"/>
      <w:bookmarkStart w:id="48" w:name="_Toc26626"/>
      <w:bookmarkStart w:id="49" w:name="_Toc2808"/>
      <w:r>
        <w:rPr>
          <w:rFonts w:hint="eastAsia" w:ascii="仿宋" w:hAnsi="仿宋" w:eastAsia="仿宋" w:cs="仿宋"/>
          <w:kern w:val="0"/>
          <w:sz w:val="24"/>
          <w:szCs w:val="24"/>
        </w:rPr>
        <w:t>第二章　委托代理</w:t>
      </w:r>
      <w:bookmarkEnd w:id="43"/>
      <w:bookmarkEnd w:id="44"/>
      <w:bookmarkEnd w:id="45"/>
      <w:bookmarkEnd w:id="46"/>
      <w:bookmarkEnd w:id="47"/>
      <w:bookmarkEnd w:id="48"/>
      <w:bookmarkEnd w:id="49"/>
    </w:p>
    <w:p>
      <w:pPr>
        <w:spacing w:line="336" w:lineRule="auto"/>
        <w:ind w:firstLine="482" w:firstLineChars="200"/>
        <w:rPr>
          <w:rFonts w:ascii="仿宋" w:hAnsi="仿宋" w:eastAsia="仿宋" w:cs="仿宋"/>
          <w:kern w:val="0"/>
          <w:sz w:val="24"/>
        </w:rPr>
      </w:pPr>
      <w:r>
        <w:rPr>
          <w:rFonts w:hint="eastAsia" w:ascii="仿宋" w:hAnsi="仿宋" w:eastAsia="仿宋" w:cs="仿宋"/>
          <w:b/>
          <w:bCs/>
          <w:kern w:val="0"/>
          <w:sz w:val="24"/>
        </w:rPr>
        <w:t>第三条</w:t>
      </w:r>
      <w:r>
        <w:rPr>
          <w:rFonts w:hint="eastAsia" w:ascii="仿宋" w:hAnsi="仿宋" w:eastAsia="仿宋" w:cs="仿宋"/>
          <w:kern w:val="0"/>
          <w:sz w:val="24"/>
        </w:rPr>
        <w:t xml:space="preserve">  双方同意，乙方接受甲方委托为其代理提供以下服务： </w:t>
      </w:r>
    </w:p>
    <w:p>
      <w:pPr>
        <w:spacing w:line="336" w:lineRule="auto"/>
        <w:ind w:firstLine="480" w:firstLineChars="200"/>
        <w:rPr>
          <w:rFonts w:ascii="仿宋" w:hAnsi="仿宋" w:eastAsia="仿宋" w:cs="仿宋"/>
          <w:kern w:val="0"/>
          <w:sz w:val="24"/>
        </w:rPr>
      </w:pPr>
      <w:r>
        <w:rPr>
          <w:rFonts w:hint="eastAsia" w:ascii="仿宋" w:hAnsi="仿宋" w:eastAsia="仿宋" w:cs="仿宋"/>
          <w:kern w:val="0"/>
          <w:sz w:val="24"/>
        </w:rPr>
        <w:t>1.接受并执行甲方依照本协议约定的方式下达的合法有效的委托指令；</w:t>
      </w:r>
    </w:p>
    <w:p>
      <w:pPr>
        <w:spacing w:line="336" w:lineRule="auto"/>
        <w:ind w:left="420" w:leftChars="200" w:firstLine="120" w:firstLineChars="50"/>
        <w:rPr>
          <w:rFonts w:ascii="仿宋" w:hAnsi="仿宋" w:eastAsia="仿宋" w:cs="仿宋"/>
          <w:kern w:val="0"/>
          <w:sz w:val="24"/>
        </w:rPr>
      </w:pPr>
      <w:r>
        <w:rPr>
          <w:rFonts w:hint="eastAsia" w:ascii="仿宋" w:hAnsi="仿宋" w:eastAsia="仿宋" w:cs="仿宋"/>
          <w:kern w:val="0"/>
          <w:sz w:val="24"/>
        </w:rPr>
        <w:t>2.代理甲方进行资金、证券的清算、交收；</w:t>
      </w:r>
    </w:p>
    <w:p>
      <w:pPr>
        <w:spacing w:line="336" w:lineRule="auto"/>
        <w:ind w:left="420" w:leftChars="200" w:firstLine="120" w:firstLineChars="50"/>
        <w:rPr>
          <w:rFonts w:ascii="仿宋" w:hAnsi="仿宋" w:eastAsia="仿宋" w:cs="仿宋"/>
          <w:kern w:val="0"/>
          <w:sz w:val="24"/>
        </w:rPr>
      </w:pPr>
      <w:r>
        <w:rPr>
          <w:rFonts w:hint="eastAsia" w:ascii="仿宋" w:hAnsi="仿宋" w:eastAsia="仿宋" w:cs="仿宋"/>
          <w:kern w:val="0"/>
          <w:sz w:val="24"/>
        </w:rPr>
        <w:t>3.代理保管甲方买入或存入的有价证券；</w:t>
      </w:r>
    </w:p>
    <w:p>
      <w:pPr>
        <w:spacing w:line="336" w:lineRule="auto"/>
        <w:ind w:left="420" w:leftChars="200" w:firstLine="120" w:firstLineChars="50"/>
        <w:rPr>
          <w:rFonts w:ascii="仿宋" w:hAnsi="仿宋" w:eastAsia="仿宋" w:cs="仿宋"/>
          <w:kern w:val="0"/>
          <w:sz w:val="24"/>
        </w:rPr>
      </w:pPr>
      <w:r>
        <w:rPr>
          <w:rFonts w:hint="eastAsia" w:ascii="仿宋" w:hAnsi="仿宋" w:eastAsia="仿宋" w:cs="仿宋"/>
          <w:kern w:val="0"/>
          <w:sz w:val="24"/>
        </w:rPr>
        <w:t>4.代理甲方领取红利股息及其他利益分配；</w:t>
      </w:r>
    </w:p>
    <w:p>
      <w:pPr>
        <w:spacing w:line="336" w:lineRule="auto"/>
        <w:ind w:firstLine="480" w:firstLineChars="200"/>
        <w:rPr>
          <w:rFonts w:ascii="仿宋" w:hAnsi="仿宋" w:eastAsia="仿宋" w:cs="仿宋"/>
          <w:kern w:val="0"/>
          <w:sz w:val="24"/>
        </w:rPr>
      </w:pPr>
      <w:r>
        <w:rPr>
          <w:rFonts w:hint="eastAsia" w:ascii="仿宋" w:hAnsi="仿宋" w:eastAsia="仿宋" w:cs="仿宋"/>
          <w:kern w:val="0"/>
          <w:sz w:val="24"/>
        </w:rPr>
        <w:t>5.接受甲方对其委托、成交及账户内的资产及变化情况的查询，并应甲方的要求提供相应的清单；</w:t>
      </w:r>
    </w:p>
    <w:p>
      <w:pPr>
        <w:spacing w:line="336" w:lineRule="auto"/>
        <w:ind w:left="561" w:leftChars="267" w:firstLine="110" w:firstLineChars="46"/>
        <w:rPr>
          <w:rFonts w:ascii="仿宋" w:hAnsi="仿宋" w:eastAsia="仿宋" w:cs="仿宋"/>
          <w:kern w:val="0"/>
          <w:sz w:val="24"/>
        </w:rPr>
      </w:pPr>
      <w:r>
        <w:rPr>
          <w:rFonts w:hint="eastAsia" w:ascii="仿宋" w:hAnsi="仿宋" w:eastAsia="仿宋" w:cs="仿宋"/>
          <w:kern w:val="0"/>
          <w:sz w:val="24"/>
        </w:rPr>
        <w:t>6.双方依法约定的其他委托事项；</w:t>
      </w:r>
    </w:p>
    <w:p>
      <w:pPr>
        <w:spacing w:line="336" w:lineRule="auto"/>
        <w:ind w:firstLine="480" w:firstLineChars="200"/>
        <w:rPr>
          <w:rFonts w:ascii="仿宋" w:hAnsi="仿宋" w:eastAsia="仿宋" w:cs="仿宋"/>
          <w:b/>
          <w:bCs/>
          <w:kern w:val="0"/>
          <w:sz w:val="24"/>
        </w:rPr>
      </w:pPr>
      <w:r>
        <w:rPr>
          <w:rFonts w:hint="eastAsia" w:ascii="仿宋" w:hAnsi="仿宋" w:eastAsia="仿宋" w:cs="仿宋"/>
          <w:kern w:val="0"/>
          <w:sz w:val="24"/>
        </w:rPr>
        <w:t>7.法律法规、监管规定、自律规则规定的、乙方可以代甲方进行的其他活动。</w:t>
      </w:r>
    </w:p>
    <w:p>
      <w:pPr>
        <w:spacing w:line="336" w:lineRule="auto"/>
        <w:ind w:firstLine="482" w:firstLineChars="200"/>
        <w:rPr>
          <w:rFonts w:ascii="仿宋" w:hAnsi="仿宋" w:eastAsia="仿宋" w:cs="仿宋"/>
          <w:kern w:val="0"/>
          <w:sz w:val="24"/>
        </w:rPr>
      </w:pPr>
      <w:r>
        <w:rPr>
          <w:rFonts w:hint="eastAsia" w:ascii="仿宋" w:hAnsi="仿宋" w:eastAsia="仿宋" w:cs="仿宋"/>
          <w:b/>
          <w:bCs/>
          <w:kern w:val="0"/>
          <w:sz w:val="24"/>
        </w:rPr>
        <w:t>第四条</w:t>
      </w:r>
      <w:r>
        <w:rPr>
          <w:rFonts w:hint="eastAsia" w:ascii="仿宋" w:hAnsi="仿宋" w:eastAsia="仿宋" w:cs="仿宋"/>
          <w:kern w:val="0"/>
          <w:sz w:val="24"/>
        </w:rPr>
        <w:t xml:space="preserve">  甲方在证券投资前，应先依照法律法规、监管规定、自律规则及相关业务规则在乙方开立账户用于甲方的证券交易、清算交收和计付利息等。乙方代理证券登记结算机构开立证券账户，应遵循上述机构的有关规定。</w:t>
      </w:r>
    </w:p>
    <w:p>
      <w:pPr>
        <w:spacing w:line="336" w:lineRule="auto"/>
        <w:ind w:firstLine="482" w:firstLineChars="200"/>
        <w:rPr>
          <w:rFonts w:ascii="仿宋" w:hAnsi="仿宋" w:eastAsia="仿宋" w:cs="仿宋"/>
          <w:kern w:val="0"/>
          <w:sz w:val="24"/>
        </w:rPr>
      </w:pPr>
      <w:r>
        <w:rPr>
          <w:rFonts w:hint="eastAsia" w:ascii="仿宋" w:hAnsi="仿宋" w:eastAsia="仿宋" w:cs="仿宋"/>
          <w:b/>
          <w:bCs/>
          <w:kern w:val="0"/>
          <w:sz w:val="24"/>
        </w:rPr>
        <w:t>第五条</w:t>
      </w:r>
      <w:r>
        <w:rPr>
          <w:rFonts w:hint="eastAsia" w:ascii="仿宋" w:hAnsi="仿宋" w:eastAsia="仿宋" w:cs="仿宋"/>
          <w:kern w:val="0"/>
          <w:sz w:val="24"/>
        </w:rPr>
        <w:t xml:space="preserve">  </w:t>
      </w:r>
      <w:r>
        <w:rPr>
          <w:rFonts w:hint="eastAsia" w:ascii="仿宋" w:hAnsi="仿宋" w:eastAsia="仿宋" w:cs="仿宋"/>
          <w:bCs/>
          <w:kern w:val="0"/>
          <w:sz w:val="24"/>
        </w:rPr>
        <w:t>甲方向乙方下达委托指令的方式由双方约定。</w:t>
      </w:r>
      <w:r>
        <w:rPr>
          <w:rFonts w:hint="eastAsia" w:ascii="仿宋" w:hAnsi="仿宋" w:eastAsia="仿宋" w:cs="仿宋"/>
          <w:kern w:val="0"/>
          <w:sz w:val="24"/>
        </w:rPr>
        <w:t>甲方向乙方下达委托指令的方式包括柜台委托、自助委托以及乙方认可的其他合法委托方式，自助委托包括网上委托、电话委托、热键委托等，具体委托方式以实际开通为准。</w:t>
      </w:r>
    </w:p>
    <w:p>
      <w:pPr>
        <w:spacing w:line="360" w:lineRule="auto"/>
        <w:ind w:firstLine="482" w:firstLineChars="200"/>
        <w:rPr>
          <w:rFonts w:ascii="仿宋" w:hAnsi="仿宋" w:eastAsia="仿宋" w:cs="仿宋"/>
          <w:kern w:val="0"/>
          <w:sz w:val="24"/>
        </w:rPr>
      </w:pPr>
      <w:r>
        <w:rPr>
          <w:rFonts w:hint="eastAsia" w:ascii="仿宋" w:hAnsi="仿宋" w:eastAsia="仿宋" w:cs="仿宋"/>
          <w:b/>
          <w:kern w:val="0"/>
          <w:sz w:val="24"/>
        </w:rPr>
        <w:t>第六条</w:t>
      </w:r>
      <w:r>
        <w:rPr>
          <w:rFonts w:hint="eastAsia" w:ascii="仿宋" w:hAnsi="仿宋" w:eastAsia="仿宋" w:cs="仿宋"/>
          <w:kern w:val="0"/>
          <w:sz w:val="24"/>
        </w:rPr>
        <w:t xml:space="preserve">  </w:t>
      </w:r>
      <w:r>
        <w:rPr>
          <w:rFonts w:hint="eastAsia" w:ascii="仿宋" w:hAnsi="仿宋" w:eastAsia="仿宋" w:cs="仿宋"/>
          <w:bCs/>
          <w:sz w:val="24"/>
        </w:rPr>
        <w:t>甲方进行网上委托时，只能使用乙方直接提供给甲方的软件，或甲方依照乙方指示从乙方指定站点下载的软件。甲方使用其他途径获得的软件进行网上委托所产生的后果、风险和损失由甲方自行承担。</w:t>
      </w:r>
    </w:p>
    <w:p>
      <w:pPr>
        <w:spacing w:line="360" w:lineRule="auto"/>
        <w:ind w:firstLine="480" w:firstLineChars="200"/>
        <w:rPr>
          <w:rFonts w:ascii="仿宋" w:hAnsi="仿宋" w:eastAsia="仿宋" w:cs="仿宋"/>
          <w:kern w:val="0"/>
          <w:sz w:val="24"/>
        </w:rPr>
      </w:pPr>
      <w:r>
        <w:rPr>
          <w:rFonts w:hint="eastAsia" w:ascii="仿宋" w:hAnsi="仿宋" w:eastAsia="仿宋" w:cs="仿宋"/>
          <w:bCs/>
          <w:sz w:val="24"/>
        </w:rPr>
        <w:t>网上委托是指甲方通过互联网或移动通讯网络向乙方网上委托系统下达委托指令、获取成交结果的服务方式</w:t>
      </w:r>
      <w:r>
        <w:rPr>
          <w:rFonts w:hint="eastAsia" w:ascii="仿宋" w:hAnsi="仿宋" w:eastAsia="仿宋" w:cs="仿宋"/>
          <w:kern w:val="0"/>
          <w:sz w:val="24"/>
        </w:rPr>
        <w:t>。网上委托的上网终端包括电子计算机、手机等通过互联网</w:t>
      </w:r>
      <w:r>
        <w:rPr>
          <w:rFonts w:hint="eastAsia" w:ascii="仿宋" w:hAnsi="仿宋" w:eastAsia="仿宋" w:cs="仿宋"/>
          <w:bCs/>
          <w:sz w:val="24"/>
        </w:rPr>
        <w:t>或移动通讯网络连接乙方委托系统</w:t>
      </w:r>
      <w:r>
        <w:rPr>
          <w:rFonts w:hint="eastAsia" w:ascii="仿宋" w:hAnsi="仿宋" w:eastAsia="仿宋" w:cs="仿宋"/>
          <w:kern w:val="0"/>
          <w:sz w:val="24"/>
        </w:rPr>
        <w:t>的设备。</w:t>
      </w:r>
    </w:p>
    <w:p>
      <w:pPr>
        <w:spacing w:line="360" w:lineRule="auto"/>
        <w:ind w:firstLine="482" w:firstLineChars="200"/>
        <w:rPr>
          <w:rFonts w:ascii="仿宋" w:hAnsi="仿宋" w:eastAsia="仿宋" w:cs="仿宋"/>
          <w:bCs/>
          <w:sz w:val="24"/>
        </w:rPr>
      </w:pPr>
      <w:r>
        <w:rPr>
          <w:rFonts w:hint="eastAsia" w:ascii="仿宋" w:hAnsi="仿宋" w:eastAsia="仿宋" w:cs="仿宋"/>
          <w:b/>
          <w:kern w:val="0"/>
          <w:sz w:val="24"/>
        </w:rPr>
        <w:t>第七条</w:t>
      </w:r>
      <w:r>
        <w:rPr>
          <w:rFonts w:hint="eastAsia" w:ascii="仿宋" w:hAnsi="仿宋" w:eastAsia="仿宋" w:cs="仿宋"/>
          <w:kern w:val="0"/>
          <w:sz w:val="24"/>
        </w:rPr>
        <w:t>　</w:t>
      </w:r>
      <w:r>
        <w:rPr>
          <w:rFonts w:hint="eastAsia" w:ascii="仿宋" w:hAnsi="仿宋" w:eastAsia="仿宋" w:cs="仿宋"/>
          <w:bCs/>
          <w:sz w:val="24"/>
        </w:rPr>
        <w:t>甲乙双方可以采用</w:t>
      </w:r>
      <w:r>
        <w:rPr>
          <w:rFonts w:hint="eastAsia" w:ascii="仿宋" w:hAnsi="仿宋" w:eastAsia="仿宋" w:cs="仿宋"/>
          <w:kern w:val="0"/>
          <w:sz w:val="24"/>
        </w:rPr>
        <w:t>电子方式或纸质方式</w:t>
      </w:r>
      <w:r>
        <w:rPr>
          <w:rFonts w:hint="eastAsia" w:ascii="仿宋" w:hAnsi="仿宋" w:eastAsia="仿宋" w:cs="仿宋"/>
          <w:bCs/>
          <w:sz w:val="24"/>
        </w:rPr>
        <w:t>就第五条约定的委托方式之外的其他委托方式进行约定，并约定该委托方式的执行程序、身份验证方式等内容。其他委托方式应符合相关</w:t>
      </w:r>
      <w:r>
        <w:rPr>
          <w:rFonts w:hint="eastAsia" w:ascii="仿宋" w:hAnsi="仿宋" w:eastAsia="仿宋" w:cs="仿宋"/>
          <w:kern w:val="0"/>
          <w:sz w:val="24"/>
        </w:rPr>
        <w:t>法律法规、监管规定、自律规则等规定</w:t>
      </w:r>
      <w:r>
        <w:rPr>
          <w:rFonts w:hint="eastAsia" w:ascii="仿宋" w:hAnsi="仿宋" w:eastAsia="仿宋" w:cs="仿宋"/>
          <w:bCs/>
          <w:sz w:val="24"/>
        </w:rPr>
        <w:t>。</w:t>
      </w:r>
    </w:p>
    <w:p>
      <w:pPr>
        <w:spacing w:line="336" w:lineRule="auto"/>
        <w:ind w:firstLine="482" w:firstLineChars="200"/>
        <w:rPr>
          <w:rFonts w:ascii="仿宋" w:hAnsi="仿宋" w:eastAsia="仿宋" w:cs="仿宋"/>
          <w:bCs/>
          <w:sz w:val="24"/>
        </w:rPr>
      </w:pPr>
      <w:r>
        <w:rPr>
          <w:rFonts w:hint="eastAsia" w:ascii="仿宋" w:hAnsi="仿宋" w:eastAsia="仿宋" w:cs="仿宋"/>
          <w:b/>
          <w:bCs/>
          <w:sz w:val="24"/>
        </w:rPr>
        <w:t>第八条</w:t>
      </w:r>
      <w:r>
        <w:rPr>
          <w:rFonts w:hint="eastAsia" w:ascii="仿宋" w:hAnsi="仿宋" w:eastAsia="仿宋" w:cs="仿宋"/>
          <w:sz w:val="24"/>
        </w:rPr>
        <w:t>　</w:t>
      </w:r>
      <w:r>
        <w:rPr>
          <w:rFonts w:hint="eastAsia" w:ascii="仿宋" w:hAnsi="仿宋" w:eastAsia="仿宋" w:cs="仿宋"/>
          <w:bCs/>
          <w:kern w:val="0"/>
          <w:sz w:val="24"/>
        </w:rPr>
        <w:t>甲方</w:t>
      </w:r>
      <w:r>
        <w:rPr>
          <w:rFonts w:hint="eastAsia" w:ascii="仿宋" w:hAnsi="仿宋" w:eastAsia="仿宋" w:cs="仿宋"/>
          <w:sz w:val="24"/>
        </w:rPr>
        <w:t>应当同时开通多种委托方式，当乙方某种委托系统出现故障或其他异常情况时，甲方可采用其他委托方式下达委托指令。</w:t>
      </w:r>
    </w:p>
    <w:p>
      <w:pPr>
        <w:spacing w:line="360" w:lineRule="auto"/>
        <w:ind w:firstLine="482" w:firstLineChars="200"/>
        <w:rPr>
          <w:rFonts w:ascii="仿宋" w:hAnsi="仿宋" w:eastAsia="仿宋" w:cs="仿宋"/>
          <w:sz w:val="24"/>
        </w:rPr>
      </w:pPr>
      <w:r>
        <w:rPr>
          <w:rFonts w:hint="eastAsia" w:ascii="仿宋" w:hAnsi="仿宋" w:eastAsia="仿宋" w:cs="仿宋"/>
          <w:b/>
          <w:bCs/>
          <w:kern w:val="0"/>
          <w:sz w:val="24"/>
        </w:rPr>
        <w:t>第九条</w:t>
      </w:r>
      <w:r>
        <w:rPr>
          <w:rFonts w:hint="eastAsia" w:ascii="仿宋" w:hAnsi="仿宋" w:eastAsia="仿宋" w:cs="仿宋"/>
          <w:kern w:val="0"/>
          <w:sz w:val="24"/>
        </w:rPr>
        <w:t>　甲方委托乙方代理其进行证券交易而发出的委托及撤销委托等指令的内容和方式应符合法律法规、监管规定、自律规则及本协议的相关约定。甲方通过乙方委托系统进行证券交易时，如因甲方操作失误或因甲方指令违反上述规则或约定，或其他可归咎于甲方的原因而造成损失的，由甲方承担。</w:t>
      </w:r>
    </w:p>
    <w:p>
      <w:pPr>
        <w:spacing w:line="336" w:lineRule="auto"/>
        <w:ind w:firstLine="482" w:firstLineChars="200"/>
        <w:rPr>
          <w:rStyle w:val="24"/>
          <w:rFonts w:ascii="仿宋" w:hAnsi="仿宋" w:eastAsia="仿宋" w:cs="仿宋"/>
          <w:sz w:val="24"/>
          <w:szCs w:val="24"/>
        </w:rPr>
      </w:pPr>
      <w:r>
        <w:rPr>
          <w:rFonts w:hint="eastAsia" w:ascii="仿宋" w:hAnsi="仿宋" w:eastAsia="仿宋" w:cs="仿宋"/>
          <w:b/>
          <w:bCs/>
          <w:kern w:val="0"/>
          <w:sz w:val="24"/>
        </w:rPr>
        <w:t>第十条</w:t>
      </w:r>
      <w:r>
        <w:rPr>
          <w:rFonts w:hint="eastAsia" w:ascii="仿宋" w:hAnsi="仿宋" w:eastAsia="仿宋" w:cs="仿宋"/>
          <w:kern w:val="0"/>
          <w:sz w:val="24"/>
        </w:rPr>
        <w:t xml:space="preserve"> 如甲方发出的指令被乙方委托系统受理且证券交易场所交易系统受理的，则该委托应视为有效委托。如甲方发出的指令被乙方委托系统或证券交易场所交易系统拒绝受理，则该委托应视为无效委托。甲方在进行委托前须确保已完全了解有关交易规则，避免发出无效委托指令。</w:t>
      </w:r>
    </w:p>
    <w:p>
      <w:pPr>
        <w:spacing w:line="336" w:lineRule="auto"/>
        <w:ind w:firstLine="482" w:firstLineChars="200"/>
        <w:rPr>
          <w:rFonts w:ascii="仿宋" w:hAnsi="仿宋" w:eastAsia="仿宋" w:cs="仿宋"/>
          <w:kern w:val="0"/>
          <w:sz w:val="24"/>
        </w:rPr>
      </w:pPr>
      <w:r>
        <w:rPr>
          <w:rFonts w:hint="eastAsia" w:ascii="仿宋" w:hAnsi="仿宋" w:eastAsia="仿宋" w:cs="仿宋"/>
          <w:b/>
          <w:bCs/>
          <w:kern w:val="0"/>
          <w:sz w:val="24"/>
        </w:rPr>
        <w:t>第十一条</w:t>
      </w:r>
      <w:r>
        <w:rPr>
          <w:rFonts w:hint="eastAsia" w:ascii="仿宋" w:hAnsi="仿宋" w:eastAsia="仿宋" w:cs="仿宋"/>
          <w:kern w:val="0"/>
          <w:sz w:val="24"/>
        </w:rPr>
        <w:t xml:space="preserve">  乙方接受甲方委托指令时，如果出现由于甲方原委托指令未撤销而造成乙方无法执行甲方新的委托指令时，由此导致的后果、风险和损失，由甲方承担。</w:t>
      </w:r>
    </w:p>
    <w:p>
      <w:pPr>
        <w:spacing w:line="360" w:lineRule="auto"/>
        <w:ind w:firstLine="482" w:firstLineChars="200"/>
        <w:rPr>
          <w:rFonts w:ascii="仿宋" w:hAnsi="仿宋" w:eastAsia="仿宋" w:cs="仿宋"/>
          <w:kern w:val="0"/>
          <w:sz w:val="24"/>
        </w:rPr>
      </w:pPr>
      <w:r>
        <w:rPr>
          <w:rFonts w:hint="eastAsia" w:ascii="仿宋" w:hAnsi="仿宋" w:eastAsia="仿宋" w:cs="仿宋"/>
          <w:b/>
          <w:bCs/>
          <w:kern w:val="0"/>
          <w:sz w:val="24"/>
        </w:rPr>
        <w:t>第十二条</w:t>
      </w:r>
      <w:r>
        <w:rPr>
          <w:rFonts w:hint="eastAsia" w:ascii="仿宋" w:hAnsi="仿宋" w:eastAsia="仿宋" w:cs="仿宋"/>
          <w:kern w:val="0"/>
          <w:sz w:val="24"/>
        </w:rPr>
        <w:t>　甲方可对未显示成交回报的委托发出撤销委托指令，但若乙方根据该委托已向证券交易场所提交申报，相关申报根据法律法规、监管规定、自律规则规定不可撤销的除外。由于市场价格波动及成交回报速度的原因，乙方虽根据甲方的撤销委托指令发出撤销申报指令，但甲方委托所对应的申报可能已成交，此时甲方应承认并接受该成交结果。</w:t>
      </w:r>
    </w:p>
    <w:p>
      <w:pPr>
        <w:spacing w:line="360" w:lineRule="auto"/>
        <w:ind w:firstLine="482" w:firstLineChars="200"/>
        <w:rPr>
          <w:rFonts w:ascii="仿宋" w:hAnsi="仿宋" w:eastAsia="仿宋" w:cs="仿宋"/>
          <w:kern w:val="0"/>
          <w:sz w:val="24"/>
        </w:rPr>
      </w:pPr>
      <w:r>
        <w:rPr>
          <w:rFonts w:hint="eastAsia" w:ascii="仿宋" w:hAnsi="仿宋" w:eastAsia="仿宋" w:cs="仿宋"/>
          <w:b/>
          <w:bCs/>
          <w:kern w:val="0"/>
          <w:sz w:val="24"/>
        </w:rPr>
        <w:t>第十三条</w:t>
      </w:r>
      <w:r>
        <w:rPr>
          <w:rFonts w:hint="eastAsia" w:ascii="仿宋" w:hAnsi="仿宋" w:eastAsia="仿宋" w:cs="仿宋"/>
          <w:kern w:val="0"/>
          <w:sz w:val="24"/>
        </w:rPr>
        <w:t xml:space="preserve"> 乙方接受甲方委托提交的申报指令成交与否以证券登记结算机构及其他金融市场登记结算机构发送的清算数据为准，成交即时回报仅供参考。由于市场或设备、网络通讯等技术原因，如果出现高于甲方委托卖出价格或者低于甲方委托买入价格的成交价后长时间仍无成交即时回报的情况，此时乙方接受甲方委托提交的申报指令成交与否一律以证券登记结算机构及其他金融市场登记结算机构发送的清算数据为准。乙方接受甲方对其成交情况及账户资金和证券变化情况的查询，并应根据甲方的要求提供相应的清单。</w:t>
      </w:r>
    </w:p>
    <w:p>
      <w:pPr>
        <w:spacing w:line="336" w:lineRule="auto"/>
        <w:ind w:firstLine="482" w:firstLineChars="200"/>
        <w:rPr>
          <w:rFonts w:ascii="仿宋" w:hAnsi="仿宋" w:eastAsia="仿宋" w:cs="仿宋"/>
          <w:kern w:val="0"/>
          <w:sz w:val="24"/>
        </w:rPr>
      </w:pPr>
      <w:r>
        <w:rPr>
          <w:rFonts w:hint="eastAsia" w:ascii="仿宋" w:hAnsi="仿宋" w:eastAsia="仿宋" w:cs="仿宋"/>
          <w:b/>
          <w:kern w:val="0"/>
          <w:sz w:val="24"/>
        </w:rPr>
        <w:t>第十四条</w:t>
      </w:r>
      <w:r>
        <w:rPr>
          <w:rFonts w:hint="eastAsia" w:ascii="仿宋" w:hAnsi="仿宋" w:eastAsia="仿宋" w:cs="仿宋"/>
          <w:kern w:val="0"/>
          <w:sz w:val="24"/>
        </w:rPr>
        <w:t xml:space="preserve">  </w:t>
      </w:r>
      <w:r>
        <w:rPr>
          <w:rFonts w:hint="eastAsia" w:ascii="仿宋" w:hAnsi="仿宋" w:eastAsia="仿宋" w:cs="仿宋"/>
          <w:sz w:val="24"/>
        </w:rPr>
        <w:t>乙方按法律法规、监管规定、自律规则的规定对甲方委托指令要素的齐备性进行核查。</w:t>
      </w:r>
      <w:r>
        <w:rPr>
          <w:rFonts w:hint="eastAsia" w:ascii="仿宋" w:hAnsi="仿宋" w:eastAsia="仿宋" w:cs="仿宋"/>
          <w:kern w:val="0"/>
          <w:sz w:val="24"/>
        </w:rPr>
        <w:t xml:space="preserve">甲方保证其账户中有足够的资金或证券，并根据成交结果承担相应的清算交收责任。乙方按规定对甲方账户内的资金、证券是否充足进行审查。甲方账户资金不足时，乙方按规定拒绝甲方的买入委托指令及其他根据业务规则需要校验资金是否足额的委托指令；甲方账户内证券不足时，乙方按规定拒绝甲方的卖出委托指令及其他根据业务规则需要校验证券是否足额的委托指令。  </w:t>
      </w:r>
    </w:p>
    <w:p>
      <w:pPr>
        <w:spacing w:line="360" w:lineRule="auto"/>
        <w:ind w:firstLine="482" w:firstLineChars="200"/>
        <w:rPr>
          <w:rFonts w:ascii="仿宋" w:hAnsi="仿宋" w:eastAsia="仿宋" w:cs="仿宋"/>
          <w:kern w:val="0"/>
          <w:sz w:val="24"/>
        </w:rPr>
      </w:pPr>
      <w:r>
        <w:rPr>
          <w:rFonts w:hint="eastAsia" w:ascii="仿宋" w:hAnsi="仿宋" w:eastAsia="仿宋" w:cs="仿宋"/>
          <w:b/>
          <w:bCs/>
          <w:kern w:val="0"/>
          <w:sz w:val="24"/>
        </w:rPr>
        <w:t>第十五条</w:t>
      </w:r>
      <w:r>
        <w:rPr>
          <w:rFonts w:hint="eastAsia" w:ascii="仿宋" w:hAnsi="仿宋" w:eastAsia="仿宋" w:cs="仿宋"/>
          <w:kern w:val="0"/>
          <w:sz w:val="24"/>
        </w:rPr>
        <w:t xml:space="preserve"> 甲方应特别注意证券市场有关证券的公告信息，包括但不限于配股缴款、红利领取、红股上市、转板上市、强制赎回、转股回售、退市、重新上市、跨市场转登记、B股转A股等已发布信息，并应在相关时间节点前做好合理安排。</w:t>
      </w:r>
    </w:p>
    <w:p>
      <w:pPr>
        <w:spacing w:line="336" w:lineRule="auto"/>
        <w:ind w:firstLine="482" w:firstLineChars="200"/>
        <w:rPr>
          <w:rFonts w:ascii="仿宋" w:hAnsi="仿宋" w:eastAsia="仿宋" w:cs="仿宋"/>
          <w:kern w:val="0"/>
          <w:sz w:val="24"/>
        </w:rPr>
      </w:pPr>
      <w:r>
        <w:rPr>
          <w:rFonts w:hint="eastAsia" w:ascii="仿宋" w:hAnsi="仿宋" w:eastAsia="仿宋" w:cs="仿宋"/>
          <w:b/>
          <w:bCs/>
          <w:kern w:val="0"/>
          <w:sz w:val="24"/>
        </w:rPr>
        <w:t>第十六条</w:t>
      </w:r>
      <w:r>
        <w:rPr>
          <w:rFonts w:hint="eastAsia" w:ascii="仿宋" w:hAnsi="仿宋" w:eastAsia="仿宋" w:cs="仿宋"/>
          <w:kern w:val="0"/>
          <w:sz w:val="24"/>
        </w:rPr>
        <w:t xml:space="preserve"> 甲方发现以下异常情形时，应立即通知乙方：</w:t>
      </w:r>
    </w:p>
    <w:p>
      <w:pPr>
        <w:spacing w:line="336" w:lineRule="auto"/>
        <w:ind w:firstLine="480" w:firstLineChars="200"/>
        <w:rPr>
          <w:rFonts w:ascii="仿宋" w:hAnsi="仿宋" w:eastAsia="仿宋" w:cs="仿宋"/>
          <w:kern w:val="0"/>
          <w:sz w:val="24"/>
        </w:rPr>
      </w:pPr>
      <w:r>
        <w:rPr>
          <w:rFonts w:hint="eastAsia" w:ascii="仿宋" w:hAnsi="仿宋" w:eastAsia="仿宋" w:cs="仿宋"/>
          <w:kern w:val="0"/>
          <w:sz w:val="24"/>
        </w:rPr>
        <w:t>1.证券交易场所已开市，甲方无法进入委托交易系统；</w:t>
      </w:r>
    </w:p>
    <w:p>
      <w:pPr>
        <w:spacing w:line="336" w:lineRule="auto"/>
        <w:ind w:firstLine="480" w:firstLineChars="200"/>
        <w:rPr>
          <w:rFonts w:ascii="仿宋" w:hAnsi="仿宋" w:eastAsia="仿宋" w:cs="仿宋"/>
          <w:kern w:val="0"/>
          <w:sz w:val="24"/>
        </w:rPr>
      </w:pPr>
      <w:r>
        <w:rPr>
          <w:rFonts w:hint="eastAsia" w:ascii="仿宋" w:hAnsi="仿宋" w:eastAsia="仿宋" w:cs="仿宋"/>
          <w:kern w:val="0"/>
          <w:sz w:val="24"/>
        </w:rPr>
        <w:t>2.甲方发现账户中资产余额</w:t>
      </w:r>
      <w:r>
        <w:rPr>
          <w:rFonts w:hint="eastAsia" w:ascii="仿宋" w:hAnsi="仿宋" w:eastAsia="仿宋" w:cs="仿宋"/>
          <w:sz w:val="24"/>
        </w:rPr>
        <w:t>、委托记录</w:t>
      </w:r>
      <w:r>
        <w:rPr>
          <w:rFonts w:hint="eastAsia" w:ascii="仿宋" w:hAnsi="仿宋" w:eastAsia="仿宋" w:cs="仿宋"/>
          <w:kern w:val="0"/>
          <w:sz w:val="24"/>
        </w:rPr>
        <w:t>有异常；</w:t>
      </w:r>
    </w:p>
    <w:p>
      <w:pPr>
        <w:spacing w:line="336" w:lineRule="auto"/>
        <w:ind w:firstLine="480" w:firstLineChars="200"/>
        <w:rPr>
          <w:rFonts w:ascii="仿宋" w:hAnsi="仿宋" w:eastAsia="仿宋" w:cs="仿宋"/>
          <w:kern w:val="0"/>
          <w:sz w:val="24"/>
        </w:rPr>
      </w:pPr>
      <w:r>
        <w:rPr>
          <w:rFonts w:hint="eastAsia" w:ascii="仿宋" w:hAnsi="仿宋" w:eastAsia="仿宋" w:cs="仿宋"/>
          <w:kern w:val="0"/>
          <w:sz w:val="24"/>
        </w:rPr>
        <w:t>3.甲方发现有人在未经任何授权的情况下使用其账户密码；</w:t>
      </w:r>
    </w:p>
    <w:p>
      <w:pPr>
        <w:spacing w:line="336" w:lineRule="auto"/>
        <w:ind w:firstLine="480" w:firstLineChars="200"/>
        <w:rPr>
          <w:rFonts w:ascii="仿宋" w:hAnsi="仿宋" w:eastAsia="仿宋" w:cs="仿宋"/>
          <w:kern w:val="0"/>
          <w:sz w:val="24"/>
        </w:rPr>
      </w:pPr>
      <w:r>
        <w:rPr>
          <w:rFonts w:hint="eastAsia" w:ascii="仿宋" w:hAnsi="仿宋" w:eastAsia="仿宋" w:cs="仿宋"/>
          <w:kern w:val="0"/>
          <w:sz w:val="24"/>
        </w:rPr>
        <w:t>4.</w:t>
      </w:r>
      <w:r>
        <w:rPr>
          <w:rFonts w:hint="eastAsia" w:ascii="仿宋" w:hAnsi="仿宋" w:eastAsia="仿宋" w:cs="仿宋"/>
          <w:sz w:val="24"/>
        </w:rPr>
        <w:t>甲方发现其他影响其正常交易的异常情形</w:t>
      </w:r>
      <w:r>
        <w:rPr>
          <w:rFonts w:hint="eastAsia" w:ascii="仿宋" w:hAnsi="仿宋" w:eastAsia="仿宋" w:cs="仿宋"/>
          <w:kern w:val="0"/>
          <w:sz w:val="24"/>
        </w:rPr>
        <w:t>。</w:t>
      </w:r>
    </w:p>
    <w:p>
      <w:pPr>
        <w:spacing w:line="336" w:lineRule="auto"/>
        <w:ind w:firstLine="480" w:firstLineChars="200"/>
        <w:rPr>
          <w:rFonts w:ascii="仿宋" w:hAnsi="仿宋" w:eastAsia="仿宋" w:cs="仿宋"/>
          <w:kern w:val="0"/>
          <w:sz w:val="24"/>
        </w:rPr>
      </w:pPr>
      <w:r>
        <w:rPr>
          <w:rFonts w:hint="eastAsia" w:ascii="仿宋" w:hAnsi="仿宋" w:eastAsia="仿宋" w:cs="仿宋"/>
          <w:kern w:val="0"/>
          <w:sz w:val="24"/>
        </w:rPr>
        <w:t>出现上述异常情形时，如甲方未能立即通知乙方，由此而导致的后果、风险和损失，由甲方自行承担。</w:t>
      </w:r>
    </w:p>
    <w:p>
      <w:pPr>
        <w:spacing w:line="360" w:lineRule="auto"/>
        <w:ind w:firstLine="482" w:firstLineChars="200"/>
        <w:rPr>
          <w:rFonts w:ascii="仿宋" w:hAnsi="仿宋" w:eastAsia="仿宋" w:cs="仿宋"/>
          <w:kern w:val="0"/>
          <w:sz w:val="24"/>
        </w:rPr>
      </w:pPr>
      <w:r>
        <w:rPr>
          <w:rFonts w:hint="eastAsia" w:ascii="仿宋" w:hAnsi="仿宋" w:eastAsia="仿宋" w:cs="仿宋"/>
          <w:b/>
          <w:bCs/>
          <w:kern w:val="0"/>
          <w:sz w:val="24"/>
        </w:rPr>
        <w:t>第十七条</w:t>
      </w:r>
      <w:r>
        <w:rPr>
          <w:rFonts w:hint="eastAsia" w:ascii="仿宋" w:hAnsi="仿宋" w:eastAsia="仿宋" w:cs="仿宋"/>
          <w:kern w:val="0"/>
          <w:sz w:val="24"/>
        </w:rPr>
        <w:t xml:space="preserve">  甲方应在委托指令下达后三个交易日内向乙方查询该委托结果，如甲方对委托结果有异议或发现任何系统异常情况，须在查询当日以电子方式或纸质方式向乙方提出质询。</w:t>
      </w:r>
    </w:p>
    <w:p>
      <w:pPr>
        <w:spacing w:line="360" w:lineRule="auto"/>
        <w:ind w:firstLine="480" w:firstLineChars="200"/>
        <w:rPr>
          <w:rFonts w:ascii="仿宋" w:hAnsi="仿宋" w:eastAsia="仿宋" w:cs="仿宋"/>
          <w:kern w:val="0"/>
          <w:sz w:val="24"/>
        </w:rPr>
      </w:pPr>
      <w:r>
        <w:rPr>
          <w:rFonts w:hint="eastAsia" w:ascii="仿宋" w:hAnsi="仿宋" w:eastAsia="仿宋" w:cs="仿宋"/>
          <w:kern w:val="0"/>
          <w:sz w:val="24"/>
        </w:rPr>
        <w:t>甲方逾期未办理查询或未对有异议的查询结果以电子方式或纸质方式向乙方提出质询的，视同甲方对该委托结果无异议。</w:t>
      </w:r>
    </w:p>
    <w:p>
      <w:pPr>
        <w:spacing w:line="360" w:lineRule="auto"/>
        <w:ind w:firstLine="482" w:firstLineChars="200"/>
        <w:rPr>
          <w:rFonts w:ascii="仿宋" w:hAnsi="仿宋" w:eastAsia="仿宋" w:cs="仿宋"/>
          <w:kern w:val="0"/>
          <w:sz w:val="24"/>
        </w:rPr>
      </w:pPr>
      <w:r>
        <w:rPr>
          <w:rFonts w:hint="eastAsia" w:ascii="仿宋" w:hAnsi="仿宋" w:eastAsia="仿宋" w:cs="仿宋"/>
          <w:b/>
          <w:bCs/>
          <w:kern w:val="0"/>
          <w:sz w:val="24"/>
        </w:rPr>
        <w:t xml:space="preserve">第十八条  </w:t>
      </w:r>
      <w:r>
        <w:rPr>
          <w:rFonts w:hint="eastAsia" w:ascii="仿宋" w:hAnsi="仿宋" w:eastAsia="仿宋" w:cs="仿宋"/>
          <w:kern w:val="0"/>
          <w:sz w:val="24"/>
        </w:rPr>
        <w:t>甲方可要求乙方为其提供对账单或资产证明材料等。甲方可在乙方营业场所临柜查询和打印，也可通过乙方提供的其他方式查询和打印。双方另行通过电子方式或纸质方式约定交付方式和交付时间的，乙方应按约定执行。</w:t>
      </w:r>
    </w:p>
    <w:p>
      <w:pPr>
        <w:spacing w:before="240" w:line="360" w:lineRule="auto"/>
        <w:rPr>
          <w:rFonts w:ascii="仿宋" w:hAnsi="仿宋" w:eastAsia="仿宋" w:cs="仿宋"/>
          <w:b/>
          <w:bCs/>
          <w:kern w:val="0"/>
          <w:sz w:val="24"/>
        </w:rPr>
      </w:pPr>
      <w:r>
        <w:rPr>
          <w:rFonts w:hint="eastAsia" w:ascii="仿宋" w:hAnsi="仿宋" w:eastAsia="仿宋" w:cs="仿宋"/>
          <w:b/>
          <w:bCs/>
          <w:kern w:val="0"/>
          <w:sz w:val="24"/>
        </w:rPr>
        <w:t xml:space="preserve">    第十九条  </w:t>
      </w:r>
      <w:r>
        <w:rPr>
          <w:rFonts w:hint="eastAsia" w:ascii="仿宋" w:hAnsi="仿宋" w:eastAsia="仿宋" w:cs="仿宋"/>
          <w:kern w:val="0"/>
          <w:sz w:val="24"/>
        </w:rPr>
        <w:t>甲方的交易委托必须符合法律法规、监管规定和自律规则等规定。对于甲方可能影响正常交易秩序的异常交易行为，乙方有权对甲方的交易委托采取限制措施，并按照规定履行报告义务，由此产生的一切后果、风险和损失由甲方自行承担。</w:t>
      </w:r>
    </w:p>
    <w:p>
      <w:pPr>
        <w:spacing w:before="240" w:line="360" w:lineRule="auto"/>
        <w:ind w:firstLine="482" w:firstLineChars="200"/>
        <w:rPr>
          <w:rFonts w:ascii="仿宋" w:hAnsi="仿宋" w:eastAsia="仿宋" w:cs="仿宋"/>
          <w:kern w:val="0"/>
          <w:sz w:val="24"/>
        </w:rPr>
      </w:pPr>
      <w:r>
        <w:rPr>
          <w:rFonts w:hint="eastAsia" w:ascii="仿宋" w:hAnsi="仿宋" w:eastAsia="仿宋" w:cs="仿宋"/>
          <w:b/>
          <w:bCs/>
          <w:kern w:val="0"/>
          <w:sz w:val="24"/>
        </w:rPr>
        <w:t xml:space="preserve">第二十条 </w:t>
      </w:r>
      <w:r>
        <w:rPr>
          <w:rFonts w:hint="eastAsia" w:ascii="仿宋" w:hAnsi="仿宋" w:eastAsia="仿宋" w:cs="仿宋"/>
          <w:kern w:val="0"/>
          <w:sz w:val="24"/>
        </w:rPr>
        <w:t xml:space="preserve">乙方按照有关法律法规、监管规定、自律规则向甲方收取交易佣金及代收印花税等其他相关税费。佣金收取标准以电子或纸质方式另行约定。代收的印花税等其他相关税费按照有关法律法规、监管规定、自律规则的标准收取。 </w:t>
      </w:r>
    </w:p>
    <w:p>
      <w:pPr>
        <w:spacing w:before="240" w:line="360" w:lineRule="auto"/>
        <w:rPr>
          <w:rFonts w:ascii="仿宋" w:hAnsi="仿宋" w:eastAsia="仿宋" w:cs="仿宋"/>
          <w:kern w:val="0"/>
          <w:sz w:val="24"/>
        </w:rPr>
      </w:pPr>
      <w:r>
        <w:rPr>
          <w:rFonts w:hint="eastAsia" w:ascii="仿宋" w:hAnsi="仿宋" w:eastAsia="仿宋" w:cs="仿宋"/>
          <w:kern w:val="0"/>
          <w:sz w:val="24"/>
        </w:rPr>
        <w:t xml:space="preserve">    </w:t>
      </w:r>
      <w:r>
        <w:rPr>
          <w:rFonts w:hint="eastAsia" w:ascii="仿宋" w:hAnsi="仿宋" w:eastAsia="仿宋" w:cs="仿宋"/>
          <w:b/>
          <w:bCs/>
          <w:kern w:val="0"/>
          <w:sz w:val="24"/>
        </w:rPr>
        <w:t xml:space="preserve">第二十一条 </w:t>
      </w:r>
      <w:r>
        <w:rPr>
          <w:rFonts w:hint="eastAsia" w:ascii="仿宋" w:hAnsi="仿宋" w:eastAsia="仿宋" w:cs="仿宋"/>
          <w:kern w:val="0"/>
          <w:sz w:val="24"/>
        </w:rPr>
        <w:t>乙方根据甲方的委托，按照证券交易规则提出交易申报，根据成交结果完成与甲方的证券和资金的交收，并承担相应的交收责任；甲方知晓并同意，甲乙双方之间的证券划付委托证券登记结算机构代为办理</w:t>
      </w:r>
      <w:r>
        <w:rPr>
          <w:rFonts w:hint="eastAsia" w:ascii="仿宋" w:hAnsi="仿宋" w:eastAsia="仿宋" w:cs="仿宋"/>
          <w:color w:val="auto"/>
          <w:kern w:val="0"/>
          <w:sz w:val="24"/>
        </w:rPr>
        <w:t>。</w:t>
      </w:r>
    </w:p>
    <w:p>
      <w:pPr>
        <w:pStyle w:val="19"/>
        <w:outlineLvl w:val="9"/>
        <w:rPr>
          <w:rFonts w:ascii="仿宋" w:hAnsi="仿宋" w:eastAsia="仿宋" w:cs="仿宋"/>
          <w:kern w:val="0"/>
          <w:sz w:val="24"/>
          <w:szCs w:val="24"/>
        </w:rPr>
      </w:pPr>
      <w:bookmarkStart w:id="50" w:name="_Toc9612"/>
      <w:bookmarkStart w:id="51" w:name="_Toc12211"/>
      <w:bookmarkStart w:id="52" w:name="_Toc11198"/>
      <w:bookmarkStart w:id="53" w:name="_Toc15390"/>
      <w:bookmarkStart w:id="54" w:name="_Toc28374"/>
      <w:bookmarkStart w:id="55" w:name="_Toc32010"/>
      <w:bookmarkStart w:id="56" w:name="_Toc29351"/>
      <w:r>
        <w:rPr>
          <w:rFonts w:hint="eastAsia" w:ascii="仿宋" w:hAnsi="仿宋" w:eastAsia="仿宋" w:cs="仿宋"/>
          <w:kern w:val="0"/>
          <w:sz w:val="24"/>
          <w:szCs w:val="24"/>
        </w:rPr>
        <w:t>第三章  违约责任及免责条款</w:t>
      </w:r>
      <w:bookmarkEnd w:id="50"/>
      <w:bookmarkEnd w:id="51"/>
      <w:bookmarkEnd w:id="52"/>
      <w:bookmarkEnd w:id="53"/>
      <w:bookmarkEnd w:id="54"/>
      <w:bookmarkEnd w:id="55"/>
      <w:bookmarkEnd w:id="56"/>
    </w:p>
    <w:p>
      <w:pPr>
        <w:spacing w:line="336" w:lineRule="auto"/>
        <w:ind w:firstLine="482" w:firstLineChars="200"/>
        <w:rPr>
          <w:rFonts w:ascii="仿宋" w:hAnsi="仿宋" w:eastAsia="仿宋" w:cs="仿宋"/>
          <w:kern w:val="0"/>
          <w:sz w:val="24"/>
        </w:rPr>
      </w:pPr>
      <w:r>
        <w:rPr>
          <w:rFonts w:hint="eastAsia" w:ascii="仿宋" w:hAnsi="仿宋" w:eastAsia="仿宋" w:cs="仿宋"/>
          <w:b/>
          <w:bCs/>
          <w:kern w:val="0"/>
          <w:sz w:val="24"/>
        </w:rPr>
        <w:t xml:space="preserve">第二十二条 </w:t>
      </w:r>
      <w:r>
        <w:rPr>
          <w:rFonts w:hint="eastAsia" w:ascii="仿宋" w:hAnsi="仿宋" w:eastAsia="仿宋" w:cs="仿宋"/>
          <w:kern w:val="0"/>
          <w:sz w:val="24"/>
        </w:rPr>
        <w:t>本协议签订后，任何一方不履行或不完全履行本协议约定条款的，即构成违约。违约方应当负责赔偿其违约行为给另一方造成的损失。任何一方违约时，另一方有权要求违约方继续履行本协议。</w:t>
      </w:r>
    </w:p>
    <w:p>
      <w:pPr>
        <w:spacing w:line="336" w:lineRule="auto"/>
        <w:ind w:firstLine="482" w:firstLineChars="200"/>
        <w:rPr>
          <w:rFonts w:ascii="仿宋" w:hAnsi="仿宋" w:eastAsia="仿宋" w:cs="仿宋"/>
          <w:kern w:val="0"/>
          <w:sz w:val="24"/>
        </w:rPr>
      </w:pPr>
      <w:r>
        <w:rPr>
          <w:rFonts w:hint="eastAsia" w:ascii="仿宋" w:hAnsi="仿宋" w:eastAsia="仿宋" w:cs="仿宋"/>
          <w:b/>
          <w:bCs/>
          <w:kern w:val="0"/>
          <w:sz w:val="24"/>
        </w:rPr>
        <w:t xml:space="preserve">第二十三条 </w:t>
      </w:r>
      <w:r>
        <w:rPr>
          <w:rFonts w:hint="eastAsia" w:ascii="仿宋" w:hAnsi="仿宋" w:eastAsia="仿宋" w:cs="仿宋"/>
          <w:kern w:val="0"/>
          <w:sz w:val="24"/>
        </w:rPr>
        <w:t>甲方出现资金、证券交收违约时，乙方有权要求甲方在约定时间内补足资金及证券，并承担相应的违约责任。若乙方因甲方违约行为为甲方垫付资金的，甲方应根据乙方要求归还垫付资金，并承担相应的违约责任。甲方未及时履行归还责任的，乙方有权对甲方的资金和证券进行处置，包括但不限于限制买入、限制资金转出和限制交易、扣划、强制平仓等，由此造成的全部损失和法律后果由甲方自行承担，给乙方造成损失的，乙方有权追偿。</w:t>
      </w:r>
    </w:p>
    <w:p>
      <w:pPr>
        <w:pStyle w:val="28"/>
        <w:ind w:firstLine="482"/>
        <w:rPr>
          <w:rFonts w:ascii="仿宋" w:hAnsi="仿宋" w:eastAsia="仿宋" w:cs="仿宋"/>
          <w:b/>
          <w:bCs/>
          <w:sz w:val="24"/>
          <w:szCs w:val="24"/>
        </w:rPr>
      </w:pPr>
      <w:r>
        <w:rPr>
          <w:rFonts w:hint="eastAsia" w:ascii="仿宋" w:hAnsi="仿宋" w:eastAsia="仿宋" w:cs="仿宋"/>
          <w:b/>
          <w:bCs/>
          <w:sz w:val="24"/>
          <w:szCs w:val="24"/>
        </w:rPr>
        <w:t xml:space="preserve">第二十四条  </w:t>
      </w:r>
      <w:r>
        <w:rPr>
          <w:rFonts w:hint="eastAsia" w:ascii="仿宋" w:hAnsi="仿宋" w:eastAsia="仿宋" w:cs="仿宋"/>
          <w:sz w:val="24"/>
          <w:szCs w:val="24"/>
        </w:rPr>
        <w:t>乙方发现甲方的姓名或名称、有效身份证明文件及号码等基本信息、身份证明文件有效期过期需要变更的，甲方未在6个月内办理基本信息变更手续或未在身份证明文件过期90个自然日内办理身份证明文件有效期变更手续，且没有提出合理理由的，乙方有权对甲方账户采取包括但不限于限制买入、限制资金转出、限制转托管、限制撤销指定交易、暂停办理新业务、暂停或终止提供证券交易服务等措施，由此造成的任何后果、风险和损失，均由甲方自行承担。</w:t>
      </w:r>
    </w:p>
    <w:p>
      <w:pPr>
        <w:pStyle w:val="28"/>
        <w:ind w:firstLine="482"/>
        <w:rPr>
          <w:rFonts w:ascii="仿宋" w:hAnsi="仿宋" w:eastAsia="仿宋" w:cs="仿宋"/>
          <w:sz w:val="24"/>
          <w:szCs w:val="24"/>
        </w:rPr>
      </w:pPr>
      <w:r>
        <w:rPr>
          <w:rFonts w:hint="eastAsia" w:ascii="仿宋" w:hAnsi="仿宋" w:eastAsia="仿宋" w:cs="仿宋"/>
          <w:b/>
          <w:bCs/>
          <w:sz w:val="24"/>
          <w:szCs w:val="24"/>
        </w:rPr>
        <w:t>第二十五条</w:t>
      </w:r>
      <w:r>
        <w:rPr>
          <w:rFonts w:hint="eastAsia" w:ascii="仿宋" w:hAnsi="仿宋" w:eastAsia="仿宋" w:cs="仿宋"/>
          <w:sz w:val="24"/>
          <w:szCs w:val="24"/>
        </w:rPr>
        <w:t xml:space="preserve">  如果甲方存在以下情形之一的，乙方有权拒绝甲方委托，暂停提供交易服务或终止与甲方的证券交易委托代理关系，由此造成的任何后果、风险和损失由甲方自行承担：</w:t>
      </w:r>
    </w:p>
    <w:p>
      <w:pPr>
        <w:pStyle w:val="28"/>
        <w:ind w:firstLine="480"/>
        <w:rPr>
          <w:rFonts w:ascii="仿宋" w:hAnsi="仿宋" w:eastAsia="仿宋" w:cs="仿宋"/>
          <w:sz w:val="24"/>
          <w:szCs w:val="24"/>
        </w:rPr>
      </w:pPr>
      <w:r>
        <w:rPr>
          <w:rFonts w:hint="eastAsia" w:ascii="仿宋" w:hAnsi="仿宋" w:eastAsia="仿宋" w:cs="仿宋"/>
          <w:sz w:val="24"/>
          <w:szCs w:val="24"/>
        </w:rPr>
        <w:t>1.违法违规使用账户；</w:t>
      </w:r>
    </w:p>
    <w:p>
      <w:pPr>
        <w:pStyle w:val="28"/>
        <w:ind w:firstLine="480"/>
        <w:rPr>
          <w:rFonts w:ascii="仿宋" w:hAnsi="仿宋" w:eastAsia="仿宋" w:cs="仿宋"/>
          <w:sz w:val="24"/>
          <w:szCs w:val="24"/>
        </w:rPr>
      </w:pPr>
      <w:r>
        <w:rPr>
          <w:rFonts w:hint="eastAsia" w:ascii="仿宋" w:hAnsi="仿宋" w:eastAsia="仿宋" w:cs="仿宋"/>
          <w:sz w:val="24"/>
          <w:szCs w:val="24"/>
        </w:rPr>
        <w:t>2.存在严重影响正常交易秩序的异常交易行为或涉嫌违法违规的交易行为；</w:t>
      </w:r>
    </w:p>
    <w:p>
      <w:pPr>
        <w:pStyle w:val="28"/>
        <w:ind w:firstLine="480"/>
        <w:rPr>
          <w:rFonts w:ascii="仿宋" w:hAnsi="仿宋" w:eastAsia="仿宋" w:cs="仿宋"/>
          <w:sz w:val="24"/>
          <w:szCs w:val="24"/>
        </w:rPr>
      </w:pPr>
      <w:r>
        <w:rPr>
          <w:rFonts w:hint="eastAsia" w:ascii="仿宋" w:hAnsi="仿宋" w:eastAsia="仿宋" w:cs="仿宋"/>
          <w:sz w:val="24"/>
          <w:szCs w:val="24"/>
        </w:rPr>
        <w:t>3.频繁发生异常交易行为；</w:t>
      </w:r>
    </w:p>
    <w:p>
      <w:pPr>
        <w:pStyle w:val="28"/>
        <w:ind w:firstLine="480"/>
        <w:rPr>
          <w:rFonts w:ascii="仿宋" w:hAnsi="仿宋" w:eastAsia="仿宋" w:cs="仿宋"/>
          <w:sz w:val="24"/>
          <w:szCs w:val="24"/>
        </w:rPr>
      </w:pPr>
      <w:r>
        <w:rPr>
          <w:rFonts w:hint="eastAsia" w:ascii="仿宋" w:hAnsi="仿宋" w:eastAsia="仿宋" w:cs="仿宋"/>
          <w:sz w:val="24"/>
          <w:szCs w:val="24"/>
        </w:rPr>
        <w:t>4.拒绝按规定、约定向监管机关或乙方提供身份信息、交易信息、账户实际控制人信息、受益所有人信息等；</w:t>
      </w:r>
    </w:p>
    <w:p>
      <w:pPr>
        <w:pStyle w:val="28"/>
        <w:ind w:firstLine="480"/>
        <w:rPr>
          <w:rFonts w:ascii="仿宋" w:hAnsi="仿宋" w:eastAsia="仿宋" w:cs="仿宋"/>
          <w:sz w:val="24"/>
          <w:szCs w:val="24"/>
        </w:rPr>
      </w:pPr>
      <w:r>
        <w:rPr>
          <w:rFonts w:hint="eastAsia" w:ascii="仿宋" w:hAnsi="仿宋" w:eastAsia="仿宋" w:cs="仿宋"/>
          <w:sz w:val="24"/>
          <w:szCs w:val="24"/>
        </w:rPr>
        <w:t>5.法律法规、监管规定、自律规则等规定的其他情形。</w:t>
      </w:r>
    </w:p>
    <w:p>
      <w:pPr>
        <w:pStyle w:val="28"/>
        <w:ind w:firstLine="482"/>
        <w:rPr>
          <w:rFonts w:ascii="仿宋" w:hAnsi="仿宋" w:eastAsia="仿宋" w:cs="仿宋"/>
          <w:sz w:val="24"/>
          <w:szCs w:val="24"/>
        </w:rPr>
      </w:pPr>
      <w:r>
        <w:rPr>
          <w:rFonts w:hint="eastAsia" w:ascii="仿宋" w:hAnsi="仿宋" w:eastAsia="仿宋" w:cs="仿宋"/>
          <w:b/>
          <w:bCs/>
          <w:sz w:val="24"/>
          <w:szCs w:val="24"/>
        </w:rPr>
        <w:t>第二十六条</w:t>
      </w:r>
      <w:r>
        <w:rPr>
          <w:rFonts w:hint="eastAsia" w:ascii="仿宋" w:hAnsi="仿宋" w:eastAsia="仿宋" w:cs="仿宋"/>
          <w:sz w:val="24"/>
          <w:szCs w:val="24"/>
        </w:rPr>
        <w:t>　甲方应当妥善保管账户密码，由于密码泄露、保管不当或使用不当给甲方造成损失的，甲方自行承担全部经济损失和法律后果。</w:t>
      </w:r>
    </w:p>
    <w:p>
      <w:pPr>
        <w:pStyle w:val="28"/>
        <w:ind w:firstLine="482"/>
        <w:rPr>
          <w:rFonts w:ascii="仿宋" w:hAnsi="仿宋" w:eastAsia="仿宋" w:cs="仿宋"/>
          <w:sz w:val="24"/>
          <w:szCs w:val="24"/>
        </w:rPr>
      </w:pPr>
      <w:r>
        <w:rPr>
          <w:rFonts w:hint="eastAsia" w:ascii="仿宋" w:hAnsi="仿宋" w:eastAsia="仿宋" w:cs="仿宋"/>
          <w:b/>
          <w:bCs/>
          <w:sz w:val="24"/>
          <w:szCs w:val="24"/>
        </w:rPr>
        <w:t>第二十七条</w:t>
      </w:r>
      <w:r>
        <w:rPr>
          <w:rFonts w:hint="eastAsia" w:ascii="仿宋" w:hAnsi="仿宋" w:eastAsia="仿宋" w:cs="仿宋"/>
          <w:sz w:val="24"/>
          <w:szCs w:val="24"/>
        </w:rPr>
        <w:t>　甲方应妥善保管其身份信息、账户信息，因甲方保管不当给甲方造成损失的，乙方如无过错则不承担任何赔偿责任。</w:t>
      </w:r>
    </w:p>
    <w:p>
      <w:pPr>
        <w:pStyle w:val="28"/>
        <w:ind w:firstLine="482"/>
        <w:rPr>
          <w:rFonts w:ascii="仿宋" w:hAnsi="仿宋" w:eastAsia="仿宋" w:cs="仿宋"/>
          <w:sz w:val="24"/>
          <w:szCs w:val="24"/>
        </w:rPr>
      </w:pPr>
      <w:r>
        <w:rPr>
          <w:rFonts w:hint="eastAsia" w:ascii="仿宋" w:hAnsi="仿宋" w:eastAsia="仿宋" w:cs="仿宋"/>
          <w:b/>
          <w:bCs/>
          <w:sz w:val="24"/>
          <w:szCs w:val="24"/>
        </w:rPr>
        <w:t>第二十八条</w:t>
      </w:r>
      <w:r>
        <w:rPr>
          <w:rFonts w:hint="eastAsia" w:ascii="仿宋" w:hAnsi="仿宋" w:eastAsia="仿宋" w:cs="仿宋"/>
          <w:sz w:val="24"/>
          <w:szCs w:val="24"/>
        </w:rPr>
        <w:t xml:space="preserve">  因地震、台风、水灾、火灾、战争、瘟疫、社会动乱及其他不可抗力因素导致的一方损失，另一方不承担任何赔偿责任。</w:t>
      </w:r>
    </w:p>
    <w:p>
      <w:pPr>
        <w:pStyle w:val="28"/>
        <w:ind w:firstLine="482"/>
        <w:rPr>
          <w:rFonts w:ascii="仿宋" w:hAnsi="仿宋" w:eastAsia="仿宋" w:cs="仿宋"/>
          <w:sz w:val="24"/>
          <w:szCs w:val="24"/>
        </w:rPr>
      </w:pPr>
      <w:r>
        <w:rPr>
          <w:rFonts w:hint="eastAsia" w:ascii="仿宋" w:hAnsi="仿宋" w:eastAsia="仿宋" w:cs="仿宋"/>
          <w:b/>
          <w:bCs/>
          <w:sz w:val="24"/>
          <w:szCs w:val="24"/>
        </w:rPr>
        <w:t>第二十九条</w:t>
      </w:r>
      <w:r>
        <w:rPr>
          <w:rFonts w:hint="eastAsia" w:ascii="仿宋" w:hAnsi="仿宋" w:eastAsia="仿宋" w:cs="仿宋"/>
          <w:sz w:val="24"/>
          <w:szCs w:val="24"/>
        </w:rPr>
        <w:t>　因乙方不可预测或无法控制的信息系统故障、设备故障、通讯故障、电力故障等突发事故及其他非乙方人为因素，以及监管部门、自律组织等规定的其他免责情形，给甲方造成的损失，乙方如无过错则不承担任何赔偿责任。</w:t>
      </w:r>
    </w:p>
    <w:p>
      <w:pPr>
        <w:pStyle w:val="28"/>
        <w:ind w:firstLine="482"/>
        <w:rPr>
          <w:rFonts w:ascii="仿宋" w:hAnsi="仿宋" w:eastAsia="仿宋" w:cs="仿宋"/>
          <w:sz w:val="24"/>
          <w:szCs w:val="24"/>
        </w:rPr>
      </w:pPr>
      <w:r>
        <w:rPr>
          <w:rFonts w:hint="eastAsia" w:ascii="仿宋" w:hAnsi="仿宋" w:eastAsia="仿宋" w:cs="仿宋"/>
          <w:b/>
          <w:bCs/>
          <w:sz w:val="24"/>
          <w:szCs w:val="24"/>
        </w:rPr>
        <w:t>第三十条</w:t>
      </w:r>
      <w:r>
        <w:rPr>
          <w:rFonts w:hint="eastAsia" w:ascii="仿宋" w:hAnsi="仿宋" w:eastAsia="仿宋" w:cs="仿宋"/>
          <w:sz w:val="24"/>
          <w:szCs w:val="24"/>
        </w:rPr>
        <w:t>　本协议第二十八条、第二十九条所述事件发生后，乙方应当及时采取措施防止甲方损失可能的进一步扩大。</w:t>
      </w:r>
    </w:p>
    <w:p>
      <w:pPr>
        <w:pStyle w:val="19"/>
        <w:outlineLvl w:val="9"/>
        <w:rPr>
          <w:rFonts w:ascii="仿宋" w:hAnsi="仿宋" w:eastAsia="仿宋" w:cs="仿宋"/>
          <w:kern w:val="0"/>
          <w:sz w:val="24"/>
          <w:szCs w:val="24"/>
        </w:rPr>
      </w:pPr>
      <w:bookmarkStart w:id="57" w:name="_Toc15168"/>
      <w:bookmarkStart w:id="58" w:name="_Toc30128"/>
      <w:bookmarkStart w:id="59" w:name="_Toc20080"/>
      <w:bookmarkStart w:id="60" w:name="_Toc3287"/>
      <w:bookmarkStart w:id="61" w:name="_Toc27259"/>
      <w:bookmarkStart w:id="62" w:name="_Toc8419"/>
      <w:bookmarkStart w:id="63" w:name="_Toc20778"/>
      <w:r>
        <w:rPr>
          <w:rFonts w:hint="eastAsia" w:ascii="仿宋" w:hAnsi="仿宋" w:eastAsia="仿宋" w:cs="仿宋"/>
          <w:kern w:val="0"/>
          <w:sz w:val="24"/>
          <w:szCs w:val="24"/>
        </w:rPr>
        <w:t>第四章　纠纷解决</w:t>
      </w:r>
      <w:bookmarkEnd w:id="57"/>
      <w:bookmarkEnd w:id="58"/>
      <w:bookmarkEnd w:id="59"/>
      <w:bookmarkEnd w:id="60"/>
      <w:bookmarkEnd w:id="61"/>
      <w:bookmarkEnd w:id="62"/>
      <w:bookmarkEnd w:id="63"/>
    </w:p>
    <w:p>
      <w:pPr>
        <w:spacing w:line="336" w:lineRule="auto"/>
        <w:ind w:firstLine="482" w:firstLineChars="200"/>
        <w:rPr>
          <w:rFonts w:ascii="仿宋" w:hAnsi="仿宋" w:eastAsia="仿宋" w:cs="仿宋"/>
          <w:kern w:val="0"/>
          <w:sz w:val="24"/>
        </w:rPr>
      </w:pPr>
      <w:r>
        <w:rPr>
          <w:rFonts w:hint="eastAsia" w:ascii="仿宋" w:hAnsi="仿宋" w:eastAsia="仿宋" w:cs="仿宋"/>
          <w:b/>
          <w:bCs/>
          <w:kern w:val="0"/>
          <w:sz w:val="24"/>
        </w:rPr>
        <w:t>第三十一条</w:t>
      </w:r>
      <w:r>
        <w:rPr>
          <w:rFonts w:hint="eastAsia" w:ascii="仿宋" w:hAnsi="仿宋" w:eastAsia="仿宋" w:cs="仿宋"/>
          <w:kern w:val="0"/>
          <w:sz w:val="24"/>
        </w:rPr>
        <w:t xml:space="preserve">  如出现涉及甲方财产继承或财产归属的事宜或纠纷，乙方均按公证机关出具的公证文件或司法机关</w:t>
      </w:r>
      <w:r>
        <w:rPr>
          <w:rFonts w:hint="eastAsia" w:ascii="仿宋" w:hAnsi="仿宋" w:eastAsia="仿宋" w:cs="仿宋"/>
          <w:sz w:val="24"/>
        </w:rPr>
        <w:t>出具的生效裁判文书</w:t>
      </w:r>
      <w:r>
        <w:rPr>
          <w:rFonts w:hint="eastAsia" w:ascii="仿宋" w:hAnsi="仿宋" w:eastAsia="仿宋" w:cs="仿宋"/>
          <w:kern w:val="0"/>
          <w:sz w:val="24"/>
        </w:rPr>
        <w:t>办理。有关法律法规、监管规定、自律规则以及乙方业务规则另有规定的除外。</w:t>
      </w:r>
    </w:p>
    <w:p>
      <w:pPr>
        <w:spacing w:line="360" w:lineRule="auto"/>
        <w:ind w:firstLine="482" w:firstLineChars="200"/>
        <w:rPr>
          <w:rFonts w:ascii="仿宋" w:hAnsi="仿宋" w:eastAsia="仿宋" w:cs="仿宋"/>
          <w:kern w:val="0"/>
          <w:sz w:val="24"/>
        </w:rPr>
      </w:pPr>
      <w:r>
        <w:rPr>
          <w:rFonts w:hint="eastAsia" w:ascii="仿宋" w:hAnsi="仿宋" w:eastAsia="仿宋" w:cs="仿宋"/>
          <w:b/>
          <w:bCs/>
          <w:kern w:val="0"/>
          <w:sz w:val="24"/>
        </w:rPr>
        <w:t xml:space="preserve">第三十二条  </w:t>
      </w:r>
      <w:r>
        <w:rPr>
          <w:rFonts w:hint="eastAsia" w:ascii="仿宋" w:hAnsi="仿宋" w:eastAsia="仿宋" w:cs="仿宋"/>
          <w:kern w:val="0"/>
          <w:sz w:val="24"/>
        </w:rPr>
        <w:t>本协议未尽事宜，按照法律法规、监管规定、自律规则的规定协商解决。</w:t>
      </w:r>
    </w:p>
    <w:p>
      <w:pPr>
        <w:spacing w:line="360" w:lineRule="auto"/>
        <w:ind w:firstLine="482" w:firstLineChars="200"/>
        <w:rPr>
          <w:rFonts w:ascii="仿宋" w:hAnsi="仿宋" w:eastAsia="仿宋"/>
          <w:bCs/>
          <w:sz w:val="24"/>
        </w:rPr>
      </w:pPr>
      <w:r>
        <w:rPr>
          <w:rFonts w:hint="eastAsia" w:ascii="仿宋" w:hAnsi="仿宋" w:eastAsia="仿宋" w:cs="仿宋"/>
          <w:b/>
          <w:bCs/>
          <w:kern w:val="0"/>
          <w:sz w:val="24"/>
        </w:rPr>
        <w:t>第三十三条</w:t>
      </w:r>
      <w:r>
        <w:rPr>
          <w:rFonts w:hint="eastAsia" w:ascii="仿宋" w:hAnsi="仿宋" w:eastAsia="仿宋" w:cs="仿宋"/>
          <w:kern w:val="0"/>
          <w:sz w:val="24"/>
        </w:rPr>
        <w:t>　</w:t>
      </w:r>
      <w:r>
        <w:rPr>
          <w:rFonts w:hint="eastAsia" w:ascii="仿宋" w:hAnsi="仿宋" w:eastAsia="仿宋" w:cs="仿宋"/>
          <w:bCs/>
          <w:sz w:val="24"/>
        </w:rPr>
        <w:t>本协议执行中发生的争议，甲乙双方可以自行协商解决或向证券纠纷调解机构申请调解，若协商或调解不成，双方同意按以下第【 】种方式解决：</w:t>
      </w:r>
      <w:r>
        <w:rPr>
          <w:rFonts w:hint="eastAsia" w:ascii="仿宋" w:hAnsi="仿宋" w:eastAsia="仿宋"/>
          <w:bCs/>
          <w:sz w:val="24"/>
        </w:rPr>
        <w:t>（如甲方不作选择，即默认为选择2）</w:t>
      </w:r>
    </w:p>
    <w:p>
      <w:pPr>
        <w:spacing w:line="360" w:lineRule="auto"/>
        <w:ind w:firstLine="480" w:firstLineChars="200"/>
        <w:rPr>
          <w:rFonts w:ascii="仿宋" w:hAnsi="仿宋" w:eastAsia="仿宋" w:cs="仿宋"/>
          <w:bCs/>
          <w:sz w:val="24"/>
        </w:rPr>
      </w:pPr>
      <w:r>
        <w:rPr>
          <w:rFonts w:hint="eastAsia" w:ascii="仿宋" w:hAnsi="仿宋" w:eastAsia="仿宋" w:cs="仿宋"/>
          <w:bCs/>
          <w:sz w:val="24"/>
        </w:rPr>
        <w:t>1.提交</w:t>
      </w:r>
      <w:r>
        <w:rPr>
          <w:rFonts w:hint="eastAsia" w:ascii="仿宋" w:hAnsi="仿宋" w:eastAsia="仿宋"/>
          <w:bCs/>
          <w:sz w:val="24"/>
        </w:rPr>
        <w:t>乙方所在地</w:t>
      </w:r>
      <w:r>
        <w:rPr>
          <w:rFonts w:hint="eastAsia" w:ascii="仿宋" w:hAnsi="仿宋" w:eastAsia="仿宋" w:cs="仿宋"/>
          <w:bCs/>
          <w:sz w:val="24"/>
        </w:rPr>
        <w:t>仲裁委员会仲裁；</w:t>
      </w:r>
    </w:p>
    <w:p>
      <w:pPr>
        <w:spacing w:line="360" w:lineRule="auto"/>
        <w:ind w:firstLine="480" w:firstLineChars="200"/>
        <w:rPr>
          <w:rFonts w:ascii="仿宋" w:hAnsi="仿宋" w:eastAsia="仿宋" w:cs="仿宋"/>
          <w:bCs/>
          <w:sz w:val="24"/>
        </w:rPr>
      </w:pPr>
      <w:r>
        <w:rPr>
          <w:rFonts w:hint="eastAsia" w:ascii="仿宋" w:hAnsi="仿宋" w:eastAsia="仿宋" w:cs="仿宋"/>
          <w:bCs/>
          <w:sz w:val="24"/>
        </w:rPr>
        <w:t>2.向</w:t>
      </w:r>
      <w:r>
        <w:rPr>
          <w:rFonts w:hint="eastAsia" w:ascii="仿宋" w:hAnsi="仿宋" w:eastAsia="仿宋"/>
          <w:bCs/>
          <w:sz w:val="24"/>
        </w:rPr>
        <w:t>乙方所在地</w:t>
      </w:r>
      <w:r>
        <w:rPr>
          <w:rFonts w:hint="eastAsia" w:ascii="仿宋" w:hAnsi="仿宋" w:eastAsia="仿宋" w:cs="仿宋"/>
          <w:bCs/>
          <w:sz w:val="24"/>
        </w:rPr>
        <w:t>人民法院提起诉讼。</w:t>
      </w:r>
    </w:p>
    <w:p>
      <w:pPr>
        <w:pStyle w:val="19"/>
        <w:outlineLvl w:val="9"/>
        <w:rPr>
          <w:rFonts w:ascii="仿宋" w:hAnsi="仿宋" w:eastAsia="仿宋" w:cs="仿宋"/>
          <w:kern w:val="0"/>
          <w:sz w:val="24"/>
          <w:szCs w:val="24"/>
        </w:rPr>
      </w:pPr>
      <w:bookmarkStart w:id="64" w:name="_Toc32201"/>
      <w:bookmarkStart w:id="65" w:name="_Toc4528"/>
      <w:bookmarkStart w:id="66" w:name="_Toc6563"/>
      <w:bookmarkStart w:id="67" w:name="_Toc19583"/>
      <w:bookmarkStart w:id="68" w:name="_Toc25059"/>
      <w:bookmarkStart w:id="69" w:name="_Toc10646"/>
      <w:bookmarkStart w:id="70" w:name="_Toc28120"/>
      <w:r>
        <w:rPr>
          <w:rFonts w:hint="eastAsia" w:ascii="仿宋" w:hAnsi="仿宋" w:eastAsia="仿宋" w:cs="仿宋"/>
          <w:kern w:val="0"/>
          <w:sz w:val="24"/>
          <w:szCs w:val="24"/>
        </w:rPr>
        <w:t>第五章　协议的生效、变更和终止</w:t>
      </w:r>
      <w:bookmarkEnd w:id="64"/>
      <w:bookmarkEnd w:id="65"/>
      <w:bookmarkEnd w:id="66"/>
      <w:bookmarkEnd w:id="67"/>
      <w:bookmarkEnd w:id="68"/>
      <w:bookmarkEnd w:id="69"/>
      <w:bookmarkEnd w:id="70"/>
    </w:p>
    <w:p>
      <w:pPr>
        <w:spacing w:line="360" w:lineRule="auto"/>
        <w:ind w:firstLine="482" w:firstLineChars="200"/>
        <w:rPr>
          <w:rFonts w:ascii="仿宋" w:hAnsi="仿宋" w:eastAsia="仿宋" w:cs="仿宋"/>
          <w:kern w:val="0"/>
          <w:sz w:val="24"/>
        </w:rPr>
      </w:pPr>
      <w:r>
        <w:rPr>
          <w:rFonts w:hint="eastAsia" w:ascii="仿宋" w:hAnsi="仿宋" w:eastAsia="仿宋" w:cs="仿宋"/>
          <w:b/>
          <w:bCs/>
          <w:kern w:val="0"/>
          <w:sz w:val="24"/>
        </w:rPr>
        <w:t>第三十四条</w:t>
      </w:r>
      <w:r>
        <w:rPr>
          <w:rFonts w:hint="eastAsia" w:ascii="仿宋" w:hAnsi="仿宋" w:eastAsia="仿宋" w:cs="仿宋"/>
          <w:kern w:val="0"/>
          <w:sz w:val="24"/>
        </w:rPr>
        <w:t>　本协议可采用电子方式或纸质方式签署。本协议在以下条件均满足之日起生效：</w:t>
      </w:r>
    </w:p>
    <w:p>
      <w:pPr>
        <w:spacing w:line="360" w:lineRule="auto"/>
        <w:ind w:firstLine="480" w:firstLineChars="200"/>
        <w:rPr>
          <w:rFonts w:ascii="仿宋" w:hAnsi="仿宋" w:eastAsia="仿宋" w:cs="仿宋"/>
          <w:kern w:val="0"/>
          <w:sz w:val="24"/>
        </w:rPr>
      </w:pPr>
      <w:r>
        <w:rPr>
          <w:rFonts w:hint="eastAsia" w:ascii="仿宋" w:hAnsi="仿宋" w:eastAsia="仿宋" w:cs="仿宋"/>
          <w:kern w:val="0"/>
          <w:sz w:val="24"/>
        </w:rPr>
        <w:t>1.双方已签署了《证券公司客户账户开户协议》且</w:t>
      </w:r>
      <w:r>
        <w:rPr>
          <w:rFonts w:hint="eastAsia" w:ascii="仿宋" w:hAnsi="仿宋" w:eastAsia="仿宋" w:cs="仿宋"/>
          <w:sz w:val="24"/>
        </w:rPr>
        <w:t>已生效。</w:t>
      </w:r>
    </w:p>
    <w:p>
      <w:pPr>
        <w:spacing w:line="360" w:lineRule="auto"/>
        <w:ind w:firstLine="480" w:firstLineChars="200"/>
        <w:rPr>
          <w:rFonts w:ascii="仿宋" w:hAnsi="仿宋" w:eastAsia="仿宋" w:cs="仿宋"/>
          <w:kern w:val="0"/>
          <w:sz w:val="24"/>
        </w:rPr>
      </w:pPr>
      <w:r>
        <w:rPr>
          <w:rFonts w:hint="eastAsia" w:ascii="仿宋" w:hAnsi="仿宋" w:eastAsia="仿宋" w:cs="仿宋"/>
          <w:kern w:val="0"/>
          <w:sz w:val="24"/>
        </w:rPr>
        <w:t>2.双方均已在本协议上签字盖章。其中，采用电子方式签署本协议的，双方电子签名与在纸质合同上手写签名或盖章具有同等法律效力，无须另行签署纸质协议。采用纸质方式签署本协议的，本协议一式两份，甲乙双方各执一份，每份具有同等的法律效力。</w:t>
      </w:r>
    </w:p>
    <w:p>
      <w:pPr>
        <w:spacing w:line="360" w:lineRule="auto"/>
        <w:ind w:firstLine="482" w:firstLineChars="200"/>
        <w:rPr>
          <w:rFonts w:ascii="仿宋" w:hAnsi="仿宋" w:eastAsia="仿宋" w:cs="仿宋"/>
          <w:kern w:val="0"/>
          <w:sz w:val="24"/>
        </w:rPr>
      </w:pPr>
      <w:r>
        <w:rPr>
          <w:rFonts w:hint="eastAsia" w:ascii="仿宋" w:hAnsi="仿宋" w:eastAsia="仿宋" w:cs="仿宋"/>
          <w:b/>
          <w:bCs/>
          <w:kern w:val="0"/>
          <w:sz w:val="24"/>
        </w:rPr>
        <w:t>第三十五条</w:t>
      </w:r>
      <w:r>
        <w:rPr>
          <w:rFonts w:hint="eastAsia" w:ascii="仿宋" w:hAnsi="仿宋" w:eastAsia="仿宋" w:cs="仿宋"/>
          <w:kern w:val="0"/>
          <w:sz w:val="24"/>
        </w:rPr>
        <w:t>　本协议签署并生效后，若有关法律法规、监管规定、自律规则修订，本协议相关条款与其中强制性规定发生冲突的，按新修订的法律法规、监管规定、自律规则办理，但本协议其他内容及条款继续有效。</w:t>
      </w:r>
    </w:p>
    <w:p>
      <w:pPr>
        <w:spacing w:line="360" w:lineRule="auto"/>
        <w:ind w:firstLine="482" w:firstLineChars="200"/>
        <w:rPr>
          <w:rFonts w:ascii="仿宋" w:hAnsi="仿宋" w:eastAsia="仿宋" w:cs="仿宋"/>
          <w:kern w:val="0"/>
          <w:sz w:val="24"/>
        </w:rPr>
      </w:pPr>
      <w:r>
        <w:rPr>
          <w:rFonts w:hint="eastAsia" w:ascii="仿宋" w:hAnsi="仿宋" w:eastAsia="仿宋" w:cs="仿宋"/>
          <w:b/>
          <w:bCs/>
          <w:kern w:val="0"/>
          <w:sz w:val="24"/>
        </w:rPr>
        <w:t>第三十六条</w:t>
      </w:r>
      <w:r>
        <w:rPr>
          <w:rFonts w:hint="eastAsia" w:ascii="仿宋" w:hAnsi="仿宋" w:eastAsia="仿宋" w:cs="仿宋"/>
          <w:kern w:val="0"/>
          <w:sz w:val="24"/>
        </w:rPr>
        <w:t>　本协议签署并生效后，若前款所述法律法规、监管规定、自律规则修订，本协议相关条款与其中规定存在差异，乙方认为应据此修改或变更本协议的，有关内容将由乙方在其营业场所、网站、客户端以公告方式通知甲方，若甲方在七个交易日内不提出异议，则公告内容生效，并成为本协议组成部分，对甲乙双方均具有法律约束力。</w:t>
      </w:r>
    </w:p>
    <w:p>
      <w:pPr>
        <w:spacing w:line="360" w:lineRule="auto"/>
        <w:ind w:firstLine="480" w:firstLineChars="200"/>
        <w:rPr>
          <w:rFonts w:ascii="仿宋" w:hAnsi="仿宋" w:eastAsia="仿宋" w:cs="仿宋"/>
          <w:kern w:val="0"/>
          <w:sz w:val="24"/>
        </w:rPr>
      </w:pPr>
      <w:r>
        <w:rPr>
          <w:rFonts w:hint="eastAsia" w:ascii="仿宋" w:hAnsi="仿宋" w:eastAsia="仿宋" w:cs="仿宋"/>
          <w:kern w:val="0"/>
          <w:sz w:val="24"/>
        </w:rPr>
        <w:t>若甲方提出异议的，乙方有权解除与甲方的证券交易委托代理协议。</w:t>
      </w:r>
    </w:p>
    <w:p>
      <w:pPr>
        <w:spacing w:line="360" w:lineRule="auto"/>
        <w:ind w:firstLine="487" w:firstLineChars="202"/>
        <w:rPr>
          <w:rFonts w:ascii="仿宋" w:hAnsi="仿宋" w:eastAsia="仿宋" w:cs="仿宋"/>
          <w:kern w:val="0"/>
          <w:sz w:val="24"/>
        </w:rPr>
      </w:pPr>
      <w:r>
        <w:rPr>
          <w:rFonts w:hint="eastAsia" w:ascii="仿宋" w:hAnsi="仿宋" w:eastAsia="仿宋" w:cs="仿宋"/>
          <w:b/>
          <w:bCs/>
          <w:kern w:val="0"/>
          <w:sz w:val="24"/>
        </w:rPr>
        <w:t>第三十七条</w:t>
      </w:r>
      <w:r>
        <w:rPr>
          <w:rFonts w:hint="eastAsia" w:ascii="仿宋" w:hAnsi="仿宋" w:eastAsia="仿宋" w:cs="仿宋"/>
          <w:kern w:val="0"/>
          <w:sz w:val="24"/>
        </w:rPr>
        <w:t>　乙方应及时为甲方办理撤销指定交易、证券资产转托管业务，但甲方账户存在如下情形之一的除外：</w:t>
      </w:r>
    </w:p>
    <w:p>
      <w:pPr>
        <w:spacing w:line="360" w:lineRule="auto"/>
        <w:ind w:firstLine="484" w:firstLineChars="202"/>
        <w:rPr>
          <w:rFonts w:ascii="仿宋" w:hAnsi="仿宋" w:eastAsia="仿宋" w:cs="仿宋"/>
          <w:kern w:val="0"/>
          <w:sz w:val="24"/>
        </w:rPr>
      </w:pPr>
      <w:r>
        <w:rPr>
          <w:rFonts w:hint="eastAsia" w:ascii="仿宋" w:hAnsi="仿宋" w:eastAsia="仿宋" w:cs="仿宋"/>
          <w:kern w:val="0"/>
          <w:sz w:val="24"/>
        </w:rPr>
        <w:t>1.甲方账户为不合格账户、休眠账户的；</w:t>
      </w:r>
    </w:p>
    <w:p>
      <w:pPr>
        <w:spacing w:line="360" w:lineRule="auto"/>
        <w:ind w:firstLine="484" w:firstLineChars="202"/>
        <w:rPr>
          <w:rFonts w:ascii="仿宋" w:hAnsi="仿宋" w:eastAsia="仿宋" w:cs="仿宋"/>
          <w:kern w:val="0"/>
          <w:sz w:val="24"/>
        </w:rPr>
      </w:pPr>
      <w:r>
        <w:rPr>
          <w:rFonts w:hint="eastAsia" w:ascii="仿宋" w:hAnsi="仿宋" w:eastAsia="仿宋" w:cs="仿宋"/>
          <w:kern w:val="0"/>
          <w:sz w:val="24"/>
        </w:rPr>
        <w:t>2.甲方账户上存在未完成清算或交收的；</w:t>
      </w:r>
    </w:p>
    <w:p>
      <w:pPr>
        <w:spacing w:line="360" w:lineRule="auto"/>
        <w:ind w:firstLine="484" w:firstLineChars="202"/>
        <w:rPr>
          <w:rFonts w:ascii="仿宋" w:hAnsi="仿宋" w:eastAsia="仿宋" w:cs="仿宋"/>
          <w:kern w:val="0"/>
          <w:sz w:val="24"/>
        </w:rPr>
      </w:pPr>
      <w:r>
        <w:rPr>
          <w:rFonts w:hint="eastAsia" w:ascii="仿宋" w:hAnsi="仿宋" w:eastAsia="仿宋" w:cs="仿宋"/>
          <w:kern w:val="0"/>
          <w:sz w:val="24"/>
        </w:rPr>
        <w:t>3.甲方账户上存在未了结债权债务的；</w:t>
      </w:r>
    </w:p>
    <w:p>
      <w:pPr>
        <w:spacing w:line="360" w:lineRule="auto"/>
        <w:ind w:firstLine="484" w:firstLineChars="202"/>
        <w:rPr>
          <w:rFonts w:ascii="仿宋" w:hAnsi="仿宋" w:eastAsia="仿宋" w:cs="仿宋"/>
          <w:kern w:val="0"/>
          <w:sz w:val="24"/>
        </w:rPr>
      </w:pPr>
      <w:r>
        <w:rPr>
          <w:rFonts w:hint="eastAsia" w:ascii="仿宋" w:hAnsi="仿宋" w:eastAsia="仿宋" w:cs="仿宋"/>
          <w:sz w:val="24"/>
        </w:rPr>
        <w:t>4.账户上存在未解除的限制措施；</w:t>
      </w:r>
    </w:p>
    <w:p>
      <w:pPr>
        <w:spacing w:line="360" w:lineRule="auto"/>
        <w:ind w:firstLine="484" w:firstLineChars="202"/>
        <w:rPr>
          <w:rFonts w:ascii="仿宋" w:hAnsi="仿宋" w:eastAsia="仿宋" w:cs="仿宋"/>
          <w:kern w:val="0"/>
          <w:sz w:val="24"/>
        </w:rPr>
      </w:pPr>
      <w:r>
        <w:rPr>
          <w:rFonts w:hint="eastAsia" w:ascii="仿宋" w:hAnsi="仿宋" w:eastAsia="仿宋" w:cs="仿宋"/>
          <w:kern w:val="0"/>
          <w:sz w:val="24"/>
        </w:rPr>
        <w:t>5.甲方账户为异常状态（如司法冻结等情形）的；</w:t>
      </w:r>
    </w:p>
    <w:p>
      <w:pPr>
        <w:spacing w:line="336" w:lineRule="auto"/>
        <w:ind w:firstLine="480" w:firstLineChars="200"/>
        <w:rPr>
          <w:rFonts w:ascii="仿宋" w:hAnsi="仿宋" w:eastAsia="仿宋" w:cs="仿宋"/>
          <w:b/>
          <w:bCs/>
          <w:kern w:val="0"/>
          <w:sz w:val="24"/>
        </w:rPr>
      </w:pPr>
      <w:r>
        <w:rPr>
          <w:rFonts w:hint="eastAsia" w:ascii="仿宋" w:hAnsi="仿宋" w:eastAsia="仿宋" w:cs="仿宋"/>
          <w:kern w:val="0"/>
          <w:sz w:val="24"/>
        </w:rPr>
        <w:t>6.相关法律法规、监管规定、自律规则或者双方约定的其他情形的。</w:t>
      </w:r>
    </w:p>
    <w:p>
      <w:pPr>
        <w:spacing w:line="360" w:lineRule="auto"/>
        <w:ind w:firstLine="482" w:firstLineChars="200"/>
        <w:rPr>
          <w:rFonts w:ascii="仿宋" w:hAnsi="仿宋" w:eastAsia="仿宋" w:cs="仿宋"/>
          <w:kern w:val="0"/>
          <w:sz w:val="24"/>
        </w:rPr>
      </w:pPr>
      <w:r>
        <w:rPr>
          <w:rFonts w:hint="eastAsia" w:ascii="仿宋" w:hAnsi="仿宋" w:eastAsia="仿宋" w:cs="仿宋"/>
          <w:b/>
          <w:bCs/>
          <w:kern w:val="0"/>
          <w:sz w:val="24"/>
        </w:rPr>
        <w:t>第三十八条</w:t>
      </w:r>
      <w:r>
        <w:rPr>
          <w:rFonts w:hint="eastAsia" w:ascii="仿宋" w:hAnsi="仿宋" w:eastAsia="仿宋" w:cs="仿宋"/>
          <w:sz w:val="24"/>
        </w:rPr>
        <w:t xml:space="preserve">  甲乙双方签署的《证券公司客户账户开户协议》终止或依照相关约定或相关法律法规的规定提前解除时,本协议自动终止</w:t>
      </w:r>
      <w:r>
        <w:rPr>
          <w:rFonts w:hint="eastAsia" w:ascii="仿宋" w:hAnsi="仿宋" w:eastAsia="仿宋" w:cs="仿宋"/>
          <w:kern w:val="0"/>
          <w:sz w:val="24"/>
        </w:rPr>
        <w:t>。</w:t>
      </w:r>
    </w:p>
    <w:p>
      <w:pPr>
        <w:spacing w:line="360" w:lineRule="auto"/>
        <w:ind w:firstLine="482" w:firstLineChars="200"/>
        <w:jc w:val="center"/>
        <w:rPr>
          <w:rFonts w:ascii="仿宋" w:hAnsi="仿宋" w:eastAsia="仿宋" w:cs="仿宋"/>
          <w:b/>
          <w:sz w:val="24"/>
        </w:rPr>
      </w:pPr>
      <w:r>
        <w:rPr>
          <w:rFonts w:hint="eastAsia" w:ascii="仿宋" w:hAnsi="仿宋" w:eastAsia="仿宋" w:cs="仿宋"/>
          <w:b/>
          <w:bCs/>
          <w:kern w:val="0"/>
          <w:sz w:val="24"/>
        </w:rPr>
        <w:t>第六章　附 则</w:t>
      </w:r>
    </w:p>
    <w:p>
      <w:pPr>
        <w:spacing w:line="360" w:lineRule="auto"/>
        <w:ind w:firstLine="482" w:firstLineChars="200"/>
        <w:rPr>
          <w:rFonts w:ascii="仿宋" w:hAnsi="仿宋" w:eastAsia="仿宋" w:cs="仿宋"/>
          <w:kern w:val="0"/>
          <w:sz w:val="24"/>
        </w:rPr>
      </w:pPr>
      <w:r>
        <w:rPr>
          <w:rFonts w:hint="eastAsia" w:ascii="仿宋" w:hAnsi="仿宋" w:eastAsia="仿宋" w:cs="仿宋"/>
          <w:b/>
          <w:bCs/>
          <w:kern w:val="0"/>
          <w:sz w:val="24"/>
        </w:rPr>
        <w:t>第三十九条</w:t>
      </w:r>
      <w:r>
        <w:rPr>
          <w:rFonts w:hint="eastAsia" w:ascii="仿宋" w:hAnsi="仿宋" w:eastAsia="仿宋" w:cs="仿宋"/>
          <w:kern w:val="0"/>
          <w:sz w:val="24"/>
        </w:rPr>
        <w:t xml:space="preserve">  甲方委托乙方代理其他金融产品交易及其他相关事务的，如未另有协议约定，则参照本协议约定执行。</w:t>
      </w:r>
    </w:p>
    <w:p>
      <w:pPr>
        <w:spacing w:line="360" w:lineRule="auto"/>
        <w:ind w:firstLine="480" w:firstLineChars="200"/>
        <w:rPr>
          <w:rFonts w:ascii="仿宋" w:hAnsi="仿宋" w:eastAsia="仿宋" w:cs="仿宋"/>
          <w:kern w:val="0"/>
          <w:sz w:val="24"/>
        </w:rPr>
      </w:pPr>
      <w:r>
        <w:rPr>
          <w:rFonts w:hint="eastAsia" w:ascii="仿宋" w:hAnsi="仿宋" w:eastAsia="仿宋" w:cs="仿宋"/>
          <w:kern w:val="0"/>
          <w:sz w:val="24"/>
        </w:rPr>
        <w:t>本协议未作约定的，参照《证券公司客户账户开户协议》的约定执行。</w:t>
      </w:r>
    </w:p>
    <w:p>
      <w:pPr>
        <w:pStyle w:val="45"/>
        <w:spacing w:line="360" w:lineRule="auto"/>
        <w:ind w:firstLine="482" w:firstLineChars="200"/>
        <w:rPr>
          <w:rFonts w:ascii="仿宋" w:hAnsi="仿宋" w:eastAsia="仿宋" w:cs="仿宋"/>
          <w:b/>
          <w:bCs/>
          <w:kern w:val="0"/>
          <w:sz w:val="24"/>
        </w:rPr>
      </w:pPr>
      <w:r>
        <w:rPr>
          <w:rFonts w:hint="eastAsia" w:ascii="仿宋" w:hAnsi="仿宋" w:eastAsia="仿宋" w:cs="仿宋"/>
          <w:b/>
          <w:bCs/>
          <w:sz w:val="24"/>
        </w:rPr>
        <w:t>第四十条</w:t>
      </w:r>
      <w:r>
        <w:rPr>
          <w:rFonts w:hint="eastAsia" w:ascii="仿宋" w:hAnsi="仿宋" w:eastAsia="仿宋" w:cs="仿宋"/>
          <w:sz w:val="24"/>
        </w:rPr>
        <w:t xml:space="preserve">  </w:t>
      </w:r>
      <w:r>
        <w:rPr>
          <w:rFonts w:hint="eastAsia" w:ascii="仿宋" w:hAnsi="仿宋" w:eastAsia="仿宋" w:cs="仿宋"/>
          <w:kern w:val="0"/>
          <w:sz w:val="24"/>
        </w:rPr>
        <w:t>本协议所涉及名词、术语的解释，以法律法规的规定为准；法律法规没有解释的，适用中国证监会、证券交易场所、证券登记结算机构及其他金融市场登记结算机构和协会等监管规定、自律规则及行业惯例。</w:t>
      </w:r>
    </w:p>
    <w:p>
      <w:pPr>
        <w:spacing w:line="360" w:lineRule="auto"/>
        <w:ind w:firstLine="472" w:firstLineChars="196"/>
        <w:rPr>
          <w:rFonts w:ascii="仿宋" w:hAnsi="仿宋" w:eastAsia="仿宋"/>
          <w:sz w:val="24"/>
        </w:rPr>
      </w:pPr>
      <w:r>
        <w:rPr>
          <w:rFonts w:hint="eastAsia" w:ascii="仿宋" w:hAnsi="仿宋" w:eastAsia="仿宋"/>
          <w:b/>
          <w:sz w:val="24"/>
        </w:rPr>
        <w:t>本投资者确认已详细阅读并完全理解了上述的各项内容，在签署页签署视同签署认可。</w:t>
      </w:r>
    </w:p>
    <w:p>
      <w:pPr>
        <w:pStyle w:val="2"/>
        <w:rPr>
          <w:rFonts w:ascii="仿宋" w:hAnsi="仿宋" w:eastAsia="仿宋" w:cs="黑体"/>
          <w:b/>
          <w:bCs/>
          <w:kern w:val="0"/>
          <w:sz w:val="28"/>
          <w:szCs w:val="28"/>
        </w:rPr>
      </w:pPr>
    </w:p>
    <w:p>
      <w:pPr>
        <w:pStyle w:val="2"/>
        <w:rPr>
          <w:rFonts w:ascii="仿宋" w:hAnsi="仿宋" w:eastAsia="仿宋" w:cs="黑体"/>
          <w:b/>
          <w:bCs/>
          <w:kern w:val="0"/>
          <w:sz w:val="28"/>
          <w:szCs w:val="28"/>
        </w:rPr>
      </w:pPr>
    </w:p>
    <w:p>
      <w:pPr>
        <w:pStyle w:val="2"/>
        <w:rPr>
          <w:rFonts w:ascii="仿宋" w:hAnsi="仿宋" w:eastAsia="仿宋" w:cs="黑体"/>
          <w:b/>
          <w:bCs/>
          <w:kern w:val="0"/>
          <w:sz w:val="28"/>
          <w:szCs w:val="28"/>
        </w:rPr>
      </w:pPr>
    </w:p>
    <w:p>
      <w:pPr>
        <w:pStyle w:val="2"/>
        <w:rPr>
          <w:rFonts w:ascii="仿宋" w:hAnsi="仿宋" w:eastAsia="仿宋" w:cs="黑体"/>
          <w:b/>
          <w:bCs/>
          <w:kern w:val="0"/>
          <w:sz w:val="28"/>
          <w:szCs w:val="28"/>
        </w:rPr>
      </w:pPr>
    </w:p>
    <w:p>
      <w:pPr>
        <w:pStyle w:val="2"/>
        <w:rPr>
          <w:rFonts w:ascii="仿宋" w:hAnsi="仿宋" w:eastAsia="仿宋" w:cs="黑体"/>
          <w:b/>
          <w:bCs/>
          <w:kern w:val="0"/>
          <w:sz w:val="28"/>
          <w:szCs w:val="28"/>
        </w:rPr>
      </w:pPr>
    </w:p>
    <w:p>
      <w:pPr>
        <w:pStyle w:val="2"/>
        <w:rPr>
          <w:rFonts w:ascii="仿宋" w:hAnsi="仿宋" w:eastAsia="仿宋" w:cs="黑体"/>
          <w:b/>
          <w:bCs/>
          <w:kern w:val="0"/>
          <w:sz w:val="28"/>
          <w:szCs w:val="28"/>
        </w:rPr>
      </w:pPr>
    </w:p>
    <w:p>
      <w:pPr>
        <w:pStyle w:val="2"/>
        <w:rPr>
          <w:rFonts w:ascii="仿宋" w:hAnsi="仿宋" w:eastAsia="仿宋" w:cs="黑体"/>
          <w:b/>
          <w:bCs/>
          <w:kern w:val="0"/>
          <w:sz w:val="28"/>
          <w:szCs w:val="28"/>
        </w:rPr>
      </w:pPr>
    </w:p>
    <w:p>
      <w:pPr>
        <w:pStyle w:val="2"/>
        <w:rPr>
          <w:rFonts w:ascii="仿宋" w:hAnsi="仿宋" w:eastAsia="仿宋" w:cs="黑体"/>
          <w:b/>
          <w:bCs/>
          <w:kern w:val="0"/>
          <w:sz w:val="28"/>
          <w:szCs w:val="28"/>
        </w:rPr>
      </w:pPr>
    </w:p>
    <w:p>
      <w:pPr>
        <w:pStyle w:val="2"/>
        <w:rPr>
          <w:rFonts w:ascii="仿宋" w:hAnsi="仿宋" w:eastAsia="仿宋" w:cs="黑体"/>
          <w:b/>
          <w:bCs/>
          <w:kern w:val="0"/>
          <w:sz w:val="28"/>
          <w:szCs w:val="28"/>
        </w:rPr>
      </w:pPr>
    </w:p>
    <w:p>
      <w:pPr>
        <w:pStyle w:val="2"/>
        <w:rPr>
          <w:rFonts w:ascii="仿宋" w:hAnsi="仿宋" w:eastAsia="仿宋" w:cs="黑体"/>
          <w:b/>
          <w:bCs/>
          <w:kern w:val="0"/>
          <w:sz w:val="28"/>
          <w:szCs w:val="28"/>
        </w:rPr>
      </w:pPr>
    </w:p>
    <w:p>
      <w:pPr>
        <w:pStyle w:val="19"/>
        <w:numPr>
          <w:ilvl w:val="0"/>
          <w:numId w:val="1"/>
        </w:numPr>
        <w:rPr>
          <w:rFonts w:ascii="仿宋" w:hAnsi="仿宋" w:eastAsia="仿宋"/>
          <w:kern w:val="0"/>
        </w:rPr>
      </w:pPr>
      <w:bookmarkStart w:id="71" w:name="_Toc20288"/>
      <w:bookmarkStart w:id="72" w:name="_Toc12038"/>
      <w:bookmarkStart w:id="73" w:name="_Toc3775"/>
      <w:bookmarkStart w:id="74" w:name="_Toc24691"/>
      <w:bookmarkStart w:id="75" w:name="_Toc8514"/>
      <w:bookmarkStart w:id="76" w:name="_Toc22363"/>
      <w:bookmarkStart w:id="77" w:name="_Toc27713"/>
      <w:bookmarkStart w:id="78" w:name="_Toc793"/>
      <w:bookmarkStart w:id="79" w:name="_Toc30355"/>
      <w:bookmarkStart w:id="80" w:name="_Toc28983"/>
      <w:bookmarkStart w:id="81" w:name="_Toc9578"/>
      <w:r>
        <w:rPr>
          <w:rFonts w:hint="eastAsia" w:ascii="仿宋" w:hAnsi="仿宋" w:eastAsia="仿宋"/>
          <w:kern w:val="0"/>
        </w:rPr>
        <w:t>证券交易委托风险揭示书</w:t>
      </w:r>
      <w:bookmarkEnd w:id="71"/>
      <w:bookmarkEnd w:id="72"/>
      <w:bookmarkEnd w:id="73"/>
      <w:bookmarkEnd w:id="74"/>
      <w:bookmarkEnd w:id="75"/>
      <w:bookmarkEnd w:id="76"/>
      <w:bookmarkEnd w:id="77"/>
      <w:bookmarkEnd w:id="78"/>
      <w:bookmarkEnd w:id="79"/>
      <w:bookmarkEnd w:id="80"/>
      <w:bookmarkEnd w:id="81"/>
    </w:p>
    <w:p>
      <w:pPr>
        <w:spacing w:line="360" w:lineRule="auto"/>
        <w:ind w:firstLine="480"/>
        <w:rPr>
          <w:rFonts w:ascii="仿宋" w:hAnsi="仿宋" w:eastAsia="仿宋" w:cs="Arial"/>
          <w:b/>
          <w:kern w:val="0"/>
          <w:sz w:val="24"/>
        </w:rPr>
      </w:pPr>
    </w:p>
    <w:p>
      <w:pPr>
        <w:widowControl/>
        <w:adjustRightInd w:val="0"/>
        <w:snapToGrid w:val="0"/>
        <w:spacing w:line="360" w:lineRule="auto"/>
        <w:jc w:val="left"/>
        <w:rPr>
          <w:rFonts w:ascii="仿宋" w:hAnsi="仿宋" w:eastAsia="仿宋" w:cs="仿宋"/>
          <w:bCs/>
          <w:kern w:val="0"/>
          <w:sz w:val="24"/>
        </w:rPr>
      </w:pPr>
      <w:r>
        <w:rPr>
          <w:rFonts w:hint="eastAsia" w:ascii="仿宋" w:hAnsi="仿宋" w:eastAsia="仿宋" w:cs="仿宋"/>
          <w:bCs/>
          <w:kern w:val="0"/>
          <w:sz w:val="24"/>
        </w:rPr>
        <w:t xml:space="preserve">尊敬的投资者： </w:t>
      </w:r>
    </w:p>
    <w:p>
      <w:pPr>
        <w:pStyle w:val="16"/>
        <w:ind w:firstLine="480"/>
        <w:rPr>
          <w:rFonts w:ascii="仿宋" w:hAnsi="仿宋" w:eastAsia="仿宋" w:cs="仿宋"/>
          <w:sz w:val="24"/>
          <w:szCs w:val="24"/>
        </w:rPr>
      </w:pPr>
      <w:r>
        <w:rPr>
          <w:rFonts w:hint="eastAsia" w:ascii="仿宋" w:hAnsi="仿宋" w:eastAsia="仿宋" w:cs="仿宋"/>
          <w:bCs/>
          <w:sz w:val="24"/>
          <w:szCs w:val="24"/>
        </w:rPr>
        <w:t>没有只涨不跌的市场，也没有包赚不赔的投资。在您进入证券市场之前，</w:t>
      </w:r>
      <w:r>
        <w:rPr>
          <w:rFonts w:hint="eastAsia" w:ascii="仿宋" w:hAnsi="仿宋" w:eastAsia="仿宋" w:cs="仿宋"/>
          <w:sz w:val="24"/>
          <w:szCs w:val="24"/>
        </w:rPr>
        <w:t>为了使您更好地了解相关风险，根据证券市场有关法律法规、行政规章、证券登记结算机构及其他金融市场登记结算机构和证券交易场所业务规则，以及中国证券业协会自律规则，特提供本风险揭示书，请您认真详细阅读。投资者从事证券投资包括但不限于如下风险：</w:t>
      </w:r>
    </w:p>
    <w:p>
      <w:pPr>
        <w:spacing w:line="336" w:lineRule="auto"/>
        <w:ind w:firstLine="480" w:firstLineChars="200"/>
        <w:rPr>
          <w:rFonts w:ascii="仿宋" w:hAnsi="仿宋" w:eastAsia="仿宋" w:cs="仿宋"/>
          <w:kern w:val="0"/>
          <w:sz w:val="24"/>
        </w:rPr>
      </w:pPr>
      <w:r>
        <w:rPr>
          <w:rFonts w:hint="eastAsia" w:ascii="仿宋" w:hAnsi="仿宋" w:eastAsia="仿宋" w:cs="仿宋"/>
          <w:kern w:val="0"/>
          <w:sz w:val="24"/>
        </w:rPr>
        <w:t>1．宏观经济风险：我国宏观经济形势的变化以及其他国家、地区宏观经济环境和证券市场的变化，可能引起证券市场的波动，使您存在亏损的可能，您将不得不承担由此造成的损失。</w:t>
      </w:r>
    </w:p>
    <w:p>
      <w:pPr>
        <w:spacing w:line="336" w:lineRule="auto"/>
        <w:ind w:firstLine="480" w:firstLineChars="200"/>
        <w:rPr>
          <w:rFonts w:ascii="仿宋" w:hAnsi="仿宋" w:eastAsia="仿宋" w:cs="仿宋"/>
          <w:kern w:val="0"/>
          <w:sz w:val="24"/>
        </w:rPr>
      </w:pPr>
      <w:r>
        <w:rPr>
          <w:rFonts w:hint="eastAsia" w:ascii="仿宋" w:hAnsi="仿宋" w:eastAsia="仿宋" w:cs="仿宋"/>
          <w:kern w:val="0"/>
          <w:sz w:val="24"/>
        </w:rPr>
        <w:t>2．政策风险：有关证券市场的法律法规及相关政策、规则发生变化，可能引起证券市场价格波动，使您存在亏损的可能，您将不得不承担由此造成的损失。</w:t>
      </w:r>
    </w:p>
    <w:p>
      <w:pPr>
        <w:spacing w:line="336" w:lineRule="auto"/>
        <w:ind w:firstLine="480" w:firstLineChars="200"/>
        <w:rPr>
          <w:rFonts w:ascii="仿宋" w:hAnsi="仿宋" w:eastAsia="仿宋" w:cs="仿宋"/>
          <w:kern w:val="0"/>
          <w:sz w:val="24"/>
        </w:rPr>
      </w:pPr>
      <w:r>
        <w:rPr>
          <w:rFonts w:hint="eastAsia" w:ascii="仿宋" w:hAnsi="仿宋" w:eastAsia="仿宋" w:cs="仿宋"/>
          <w:kern w:val="0"/>
          <w:sz w:val="24"/>
        </w:rPr>
        <w:t>3．上市公司/挂牌公司经营风险：由于上市公司/挂牌公司所处行业整体经营形势的变化；由于上市公司/挂牌公司经营管理等方面的因素，如经营决策重大失误、高级管理人员变更、重大诉讼等都可能引起该公司证券价格的波动；由于上市公司/挂牌公司经营不善甚至于会导致该公司被停牌、摘牌，这些都使您存在亏损的可能。</w:t>
      </w:r>
    </w:p>
    <w:p>
      <w:pPr>
        <w:spacing w:line="336" w:lineRule="auto"/>
        <w:ind w:firstLine="480" w:firstLineChars="200"/>
        <w:rPr>
          <w:rFonts w:ascii="仿宋" w:hAnsi="仿宋" w:eastAsia="仿宋" w:cs="仿宋"/>
          <w:kern w:val="0"/>
          <w:sz w:val="24"/>
        </w:rPr>
      </w:pPr>
      <w:r>
        <w:rPr>
          <w:rFonts w:hint="eastAsia" w:ascii="仿宋" w:hAnsi="仿宋" w:eastAsia="仿宋" w:cs="仿宋"/>
          <w:kern w:val="0"/>
          <w:sz w:val="24"/>
        </w:rPr>
        <w:t>4．技术风险：由于交易撮合、清算交收、行情揭示及银证转账是通过电子通讯技术和电脑技术来实现的，这些技术存在着被网络黑客和计算机病毒攻击的可能，同时通讯技术、电脑技术和相关软件具有存在缺陷或不兼容的可能，这些风险可能给您带来损失或导致银证转账资金不能即时到账。</w:t>
      </w:r>
    </w:p>
    <w:p>
      <w:pPr>
        <w:spacing w:line="336" w:lineRule="auto"/>
        <w:ind w:firstLine="480" w:firstLineChars="200"/>
        <w:rPr>
          <w:rFonts w:ascii="仿宋" w:hAnsi="仿宋" w:eastAsia="仿宋" w:cs="仿宋"/>
          <w:kern w:val="0"/>
          <w:sz w:val="24"/>
        </w:rPr>
      </w:pPr>
      <w:r>
        <w:rPr>
          <w:rFonts w:hint="eastAsia" w:ascii="仿宋" w:hAnsi="仿宋" w:eastAsia="仿宋" w:cs="仿宋"/>
          <w:kern w:val="0"/>
          <w:sz w:val="24"/>
        </w:rPr>
        <w:t>由于证券交易场所主机和证券公司主机客观上存在时间差，若您的委托时间早于或晚于证券交易场所服务器时间，将会产生不利于您的委托成交或不成交的风险。</w:t>
      </w:r>
    </w:p>
    <w:p>
      <w:pPr>
        <w:numPr>
          <w:ilvl w:val="0"/>
          <w:numId w:val="2"/>
        </w:numPr>
        <w:spacing w:line="336" w:lineRule="auto"/>
        <w:ind w:firstLine="480" w:firstLineChars="200"/>
        <w:rPr>
          <w:rFonts w:ascii="仿宋" w:hAnsi="仿宋" w:eastAsia="仿宋" w:cs="仿宋"/>
          <w:kern w:val="0"/>
          <w:sz w:val="24"/>
        </w:rPr>
      </w:pPr>
      <w:r>
        <w:rPr>
          <w:rFonts w:hint="eastAsia" w:ascii="仿宋" w:hAnsi="仿宋" w:eastAsia="仿宋" w:cs="仿宋"/>
          <w:kern w:val="0"/>
          <w:sz w:val="24"/>
        </w:rPr>
        <w:t xml:space="preserve">不可抗力因素导致的风险：因不可抗力、意外事件、技术故障或证券交易场所认定的其他异常情况，导致部分或全部交易不能进行的，证券交易场所可以决定单独或同时采取暂缓进入交收、技术性停牌或临时停市等措施；诸如地震、台风、火灾、水灾、战争、瘟疫、社会动乱等不可抗力因素可能导致证券交易系统瘫痪；证券公司无法控制或不可预测的系统故障、设备故障、通讯故障、电力故障等也可能导致证券交易系统非正常运行甚至瘫痪；证券公司和银行无法控制或不可预测的系统故障、设备故障、通讯故障、电力故障等也可能导致银证转账系统非正常运行甚至瘫痪，这些都会使您的交易委托无法成交或者无法全部成交，或者银证转账资金不能即时到账，您将不得不承担由此导致的损失和不便。 </w:t>
      </w:r>
    </w:p>
    <w:p>
      <w:pPr>
        <w:spacing w:line="336" w:lineRule="auto"/>
        <w:ind w:firstLine="480" w:firstLineChars="200"/>
        <w:rPr>
          <w:rFonts w:ascii="仿宋" w:hAnsi="仿宋" w:eastAsia="仿宋" w:cs="仿宋"/>
          <w:kern w:val="0"/>
          <w:sz w:val="24"/>
        </w:rPr>
      </w:pPr>
      <w:r>
        <w:rPr>
          <w:rFonts w:hint="eastAsia" w:ascii="仿宋" w:hAnsi="仿宋" w:eastAsia="仿宋" w:cs="仿宋"/>
          <w:kern w:val="0"/>
          <w:sz w:val="24"/>
        </w:rPr>
        <w:t>6.投资证券品种的风险</w:t>
      </w:r>
    </w:p>
    <w:p>
      <w:pPr>
        <w:spacing w:line="336" w:lineRule="auto"/>
        <w:ind w:firstLine="480" w:firstLineChars="200"/>
        <w:rPr>
          <w:rFonts w:ascii="仿宋" w:hAnsi="仿宋" w:eastAsia="仿宋" w:cs="仿宋"/>
          <w:kern w:val="0"/>
          <w:sz w:val="24"/>
        </w:rPr>
      </w:pPr>
      <w:r>
        <w:rPr>
          <w:rFonts w:hint="eastAsia" w:ascii="仿宋" w:hAnsi="仿宋" w:eastAsia="仿宋" w:cs="仿宋"/>
          <w:kern w:val="0"/>
          <w:sz w:val="24"/>
        </w:rPr>
        <w:t>您应当根据自身的经济实力、承受能力和对投资品种的了解程度，认真决定证券投资品种及策略。本公司向您履行风险承受能力评估等适当性义务，并不能取代您自己的投资判断，也不会降低产品或服务的固有风险。当您有意投资风险警示类、退市整理类股票或者其他有较大潜在风险的证券品种（如衍生品等）时，尤其应当清醒地认识到该类证券品种可能蕴含着更大的投资风险。</w:t>
      </w:r>
    </w:p>
    <w:p>
      <w:pPr>
        <w:spacing w:line="336" w:lineRule="auto"/>
        <w:ind w:firstLine="480" w:firstLineChars="200"/>
        <w:rPr>
          <w:rFonts w:ascii="仿宋" w:hAnsi="仿宋" w:eastAsia="仿宋" w:cs="仿宋"/>
          <w:kern w:val="0"/>
          <w:sz w:val="24"/>
        </w:rPr>
      </w:pPr>
      <w:r>
        <w:rPr>
          <w:rFonts w:hint="eastAsia" w:ascii="仿宋" w:hAnsi="仿宋" w:eastAsia="仿宋" w:cs="仿宋"/>
          <w:kern w:val="0"/>
          <w:sz w:val="24"/>
        </w:rPr>
        <w:t>7．其他风险</w:t>
      </w:r>
    </w:p>
    <w:p>
      <w:pPr>
        <w:spacing w:line="336" w:lineRule="auto"/>
        <w:ind w:firstLine="480" w:firstLineChars="200"/>
        <w:rPr>
          <w:rFonts w:ascii="仿宋" w:hAnsi="仿宋" w:eastAsia="仿宋" w:cs="仿宋"/>
          <w:kern w:val="0"/>
          <w:sz w:val="24"/>
        </w:rPr>
      </w:pPr>
      <w:r>
        <w:rPr>
          <w:rFonts w:hint="eastAsia" w:ascii="仿宋" w:hAnsi="仿宋" w:eastAsia="仿宋" w:cs="仿宋"/>
          <w:kern w:val="0"/>
          <w:sz w:val="24"/>
        </w:rPr>
        <w:t>由于您密码失密、投资决策失误、操作不当等原因可能会使您遭受损失；网上委托、热键委托等自助委托方式操作完毕后未及时退出，他人进行恶意操作而造成的损失；网上交易还可能遭遇黑客攻击，从而造成损失；委托他人代理证券交易，致使他人违背您的意愿操作或恶意操作而造成的损失；由于您疏于防范而轻信非法网络证券欺诈活动，可能会使您遭受损失，上述损失都将由您自行承担。在您进行证券交易时，他人给予您的保证获利或不会发生亏损的任何承诺都是没有根据的，类似的承诺不会减少您发生亏损的可能。</w:t>
      </w:r>
    </w:p>
    <w:p>
      <w:pPr>
        <w:spacing w:line="336" w:lineRule="auto"/>
        <w:ind w:firstLine="480" w:firstLineChars="200"/>
        <w:rPr>
          <w:rFonts w:ascii="仿宋" w:hAnsi="仿宋" w:eastAsia="仿宋" w:cs="仿宋"/>
          <w:kern w:val="0"/>
          <w:sz w:val="24"/>
        </w:rPr>
      </w:pPr>
    </w:p>
    <w:p>
      <w:pPr>
        <w:spacing w:line="336" w:lineRule="auto"/>
        <w:ind w:firstLine="482" w:firstLineChars="200"/>
        <w:rPr>
          <w:rFonts w:ascii="仿宋" w:hAnsi="仿宋" w:eastAsia="仿宋" w:cs="仿宋"/>
          <w:kern w:val="0"/>
          <w:sz w:val="24"/>
        </w:rPr>
      </w:pPr>
      <w:r>
        <w:rPr>
          <w:rFonts w:hint="eastAsia" w:ascii="仿宋" w:hAnsi="仿宋" w:eastAsia="仿宋" w:cs="仿宋"/>
          <w:b/>
          <w:kern w:val="0"/>
          <w:sz w:val="24"/>
        </w:rPr>
        <w:t>特别提示：</w:t>
      </w:r>
      <w:r>
        <w:rPr>
          <w:rFonts w:hint="eastAsia" w:ascii="仿宋" w:hAnsi="仿宋" w:eastAsia="仿宋" w:cs="仿宋"/>
          <w:kern w:val="0"/>
          <w:sz w:val="24"/>
        </w:rPr>
        <w:t>本公司敬告投资者，请您配合证券公司进行风险承受能力评估，并客观判断自身风险承受能力与证券交易涉及的各类金融产品或服务的风险是否相匹配，审慎进行投资。</w:t>
      </w:r>
    </w:p>
    <w:p>
      <w:pPr>
        <w:spacing w:line="336" w:lineRule="auto"/>
        <w:ind w:firstLine="480" w:firstLineChars="200"/>
        <w:rPr>
          <w:rFonts w:ascii="仿宋" w:hAnsi="仿宋" w:eastAsia="仿宋" w:cs="仿宋"/>
          <w:kern w:val="0"/>
          <w:sz w:val="24"/>
        </w:rPr>
      </w:pPr>
      <w:r>
        <w:rPr>
          <w:rFonts w:hint="eastAsia" w:ascii="仿宋" w:hAnsi="仿宋" w:eastAsia="仿宋" w:cs="仿宋"/>
          <w:kern w:val="0"/>
          <w:sz w:val="24"/>
        </w:rPr>
        <w:t>如您是具备证券投资资格的境外投资者，在参与境内证券市场投资前，应充分知晓境内证券市场的相关法规知识、境内证券市场风险特征，了解并遵守境内证券市场的法律法规、监管规定、业务规则及相关规定等。</w:t>
      </w:r>
    </w:p>
    <w:p>
      <w:pPr>
        <w:spacing w:line="336" w:lineRule="auto"/>
        <w:ind w:firstLine="480" w:firstLineChars="200"/>
        <w:rPr>
          <w:rFonts w:ascii="仿宋" w:hAnsi="仿宋" w:eastAsia="仿宋" w:cs="仿宋"/>
          <w:kern w:val="0"/>
          <w:sz w:val="24"/>
        </w:rPr>
      </w:pPr>
      <w:r>
        <w:rPr>
          <w:rFonts w:hint="eastAsia" w:ascii="仿宋" w:hAnsi="仿宋" w:eastAsia="仿宋" w:cs="仿宋"/>
          <w:kern w:val="0"/>
          <w:sz w:val="24"/>
        </w:rPr>
        <w:t>证券市场是一个风险无时不在的市场。您在进行证券交易时存在赢利的可能，也存在亏损的风险。本风险揭示书并不能揭示从事证券交易的全部风险及证券市场的全部情形。您务必对此有清醒的认识，认真考虑是否参与证券交易。当您决定参与证券交易时，请您务必</w:t>
      </w:r>
      <w:r>
        <w:rPr>
          <w:rFonts w:hint="eastAsia" w:ascii="仿宋" w:hAnsi="仿宋" w:eastAsia="仿宋" w:cs="仿宋"/>
          <w:bCs/>
          <w:sz w:val="24"/>
        </w:rPr>
        <w:t>认真阅读风险揭示书并签章。</w:t>
      </w:r>
    </w:p>
    <w:p>
      <w:pPr>
        <w:spacing w:line="336" w:lineRule="auto"/>
        <w:ind w:firstLine="480" w:firstLineChars="200"/>
        <w:rPr>
          <w:rFonts w:ascii="仿宋" w:hAnsi="仿宋" w:eastAsia="仿宋" w:cs="仿宋"/>
          <w:kern w:val="0"/>
          <w:sz w:val="24"/>
        </w:rPr>
      </w:pPr>
      <w:r>
        <w:rPr>
          <w:rFonts w:hint="eastAsia" w:ascii="仿宋" w:hAnsi="仿宋" w:eastAsia="仿宋" w:cs="仿宋"/>
          <w:kern w:val="0"/>
          <w:sz w:val="24"/>
        </w:rPr>
        <w:t>股市有风险，入市需谨慎！</w:t>
      </w:r>
    </w:p>
    <w:p>
      <w:pPr>
        <w:spacing w:line="336" w:lineRule="auto"/>
        <w:ind w:firstLine="480" w:firstLineChars="200"/>
        <w:rPr>
          <w:rFonts w:ascii="仿宋" w:hAnsi="仿宋" w:eastAsia="仿宋" w:cs="仿宋"/>
          <w:kern w:val="0"/>
          <w:sz w:val="24"/>
        </w:rPr>
      </w:pPr>
    </w:p>
    <w:p>
      <w:pPr>
        <w:spacing w:line="336" w:lineRule="auto"/>
        <w:ind w:firstLine="480" w:firstLineChars="200"/>
        <w:rPr>
          <w:rFonts w:ascii="仿宋" w:hAnsi="仿宋" w:eastAsia="仿宋" w:cs="仿宋"/>
          <w:kern w:val="0"/>
          <w:sz w:val="24"/>
        </w:rPr>
      </w:pPr>
    </w:p>
    <w:p>
      <w:pPr>
        <w:adjustRightInd w:val="0"/>
        <w:rPr>
          <w:rFonts w:ascii="仿宋" w:hAnsi="仿宋" w:eastAsia="仿宋" w:cs="仿宋"/>
          <w:b/>
          <w:kern w:val="0"/>
          <w:sz w:val="24"/>
        </w:rPr>
      </w:pPr>
      <w:r>
        <w:rPr>
          <w:rFonts w:hint="eastAsia" w:ascii="仿宋" w:hAnsi="仿宋" w:eastAsia="仿宋" w:cs="仿宋"/>
          <w:b/>
          <w:kern w:val="0"/>
          <w:sz w:val="24"/>
        </w:rPr>
        <w:t xml:space="preserve">    </w:t>
      </w:r>
    </w:p>
    <w:p>
      <w:pPr>
        <w:adjustRightInd w:val="0"/>
        <w:ind w:firstLine="600"/>
        <w:rPr>
          <w:rFonts w:ascii="仿宋" w:hAnsi="仿宋" w:eastAsia="仿宋" w:cs="仿宋"/>
          <w:b/>
          <w:sz w:val="24"/>
        </w:rPr>
      </w:pPr>
      <w:r>
        <w:rPr>
          <w:rFonts w:hint="eastAsia" w:ascii="仿宋" w:hAnsi="仿宋" w:eastAsia="仿宋" w:cs="仿宋"/>
          <w:b/>
          <w:kern w:val="0"/>
          <w:sz w:val="24"/>
        </w:rPr>
        <w:t>本人/机构已认真阅读并完全理解以上《证券交易委托风险揭示书》，</w:t>
      </w:r>
      <w:r>
        <w:rPr>
          <w:rFonts w:hint="eastAsia" w:ascii="仿宋" w:hAnsi="仿宋" w:eastAsia="仿宋" w:cs="仿宋"/>
          <w:b/>
          <w:sz w:val="24"/>
        </w:rPr>
        <w:t>愿意承担证券市场的各种风险。</w:t>
      </w:r>
    </w:p>
    <w:p>
      <w:pPr>
        <w:ind w:firstLine="482" w:firstLineChars="200"/>
        <w:rPr>
          <w:rFonts w:ascii="仿宋" w:hAnsi="仿宋" w:eastAsia="仿宋" w:cs="仿宋"/>
          <w:b/>
          <w:sz w:val="24"/>
        </w:rPr>
      </w:pPr>
      <w:r>
        <w:rPr>
          <w:rFonts w:hint="eastAsia" w:ascii="仿宋" w:hAnsi="仿宋" w:eastAsia="仿宋" w:cs="仿宋"/>
          <w:b/>
          <w:sz w:val="24"/>
        </w:rPr>
        <w:t>投资者请抄写以上内容：</w:t>
      </w:r>
    </w:p>
    <w:p>
      <w:pPr>
        <w:pStyle w:val="2"/>
        <w:rPr>
          <w:rFonts w:ascii="仿宋" w:hAnsi="仿宋" w:eastAsia="仿宋" w:cs="仿宋"/>
          <w:sz w:val="24"/>
          <w:szCs w:val="24"/>
        </w:rPr>
      </w:pPr>
    </w:p>
    <w:p>
      <w:pPr>
        <w:spacing w:line="360" w:lineRule="auto"/>
        <w:jc w:val="left"/>
        <w:rPr>
          <w:rFonts w:ascii="仿宋" w:hAnsi="仿宋" w:eastAsia="仿宋" w:cs="仿宋"/>
          <w:sz w:val="24"/>
        </w:rPr>
      </w:pPr>
      <w:r>
        <w:rPr>
          <w:rFonts w:hint="eastAsia" w:ascii="仿宋" w:hAnsi="仿宋" w:eastAsia="仿宋" w:cs="仿宋"/>
          <w:sz w:val="24"/>
        </w:rPr>
        <w:t>_______________________________________________________________________________</w:t>
      </w:r>
    </w:p>
    <w:p>
      <w:pPr>
        <w:spacing w:line="360" w:lineRule="auto"/>
        <w:jc w:val="left"/>
        <w:rPr>
          <w:rFonts w:ascii="仿宋" w:hAnsi="仿宋" w:eastAsia="仿宋" w:cs="仿宋"/>
          <w:sz w:val="24"/>
        </w:rPr>
      </w:pPr>
      <w:r>
        <w:rPr>
          <w:rFonts w:hint="eastAsia" w:ascii="仿宋" w:hAnsi="仿宋" w:eastAsia="仿宋" w:cs="仿宋"/>
          <w:sz w:val="24"/>
        </w:rPr>
        <w:t>_______________________________________________________________________________</w:t>
      </w:r>
    </w:p>
    <w:p>
      <w:pPr>
        <w:spacing w:line="360" w:lineRule="auto"/>
        <w:ind w:firstLine="472" w:firstLineChars="196"/>
        <w:rPr>
          <w:rFonts w:ascii="仿宋" w:hAnsi="仿宋" w:eastAsia="仿宋"/>
          <w:sz w:val="24"/>
        </w:rPr>
      </w:pPr>
      <w:r>
        <w:rPr>
          <w:rFonts w:hint="eastAsia" w:ascii="仿宋" w:hAnsi="仿宋" w:eastAsia="仿宋"/>
          <w:b/>
          <w:sz w:val="24"/>
        </w:rPr>
        <w:t>本投资者确认已详细阅读并完全理解了上述的各项内容，在签署页签署视同签署认可。</w:t>
      </w:r>
    </w:p>
    <w:p>
      <w:pPr>
        <w:spacing w:line="360" w:lineRule="auto"/>
        <w:jc w:val="center"/>
        <w:rPr>
          <w:rFonts w:ascii="仿宋" w:hAnsi="仿宋" w:eastAsia="仿宋"/>
          <w:sz w:val="32"/>
          <w:szCs w:val="32"/>
        </w:rPr>
      </w:pPr>
    </w:p>
    <w:p>
      <w:pPr>
        <w:pStyle w:val="19"/>
        <w:numPr>
          <w:ilvl w:val="0"/>
          <w:numId w:val="1"/>
        </w:numPr>
        <w:spacing w:line="560" w:lineRule="exact"/>
        <w:rPr>
          <w:rFonts w:ascii="仿宋" w:hAnsi="仿宋" w:eastAsia="仿宋" w:cs="Times New Roman"/>
          <w:spacing w:val="-20"/>
          <w:sz w:val="36"/>
          <w:szCs w:val="36"/>
        </w:rPr>
      </w:pPr>
      <w:bookmarkStart w:id="82" w:name="_Toc2836"/>
      <w:bookmarkStart w:id="83" w:name="_Toc26478"/>
      <w:bookmarkStart w:id="84" w:name="_Toc8264"/>
      <w:bookmarkStart w:id="85" w:name="_Toc15411"/>
      <w:bookmarkStart w:id="86" w:name="_Toc29283"/>
      <w:bookmarkStart w:id="87" w:name="_Toc30422"/>
      <w:bookmarkStart w:id="88" w:name="_Toc5282"/>
      <w:bookmarkStart w:id="89" w:name="_Toc14188"/>
      <w:bookmarkStart w:id="90" w:name="_Toc27819"/>
      <w:bookmarkStart w:id="91" w:name="_Toc5083"/>
      <w:bookmarkStart w:id="92" w:name="_Toc14736"/>
      <w:r>
        <w:rPr>
          <w:rFonts w:hint="eastAsia" w:ascii="仿宋" w:hAnsi="仿宋" w:eastAsia="仿宋"/>
        </w:rPr>
        <w:t>中银国际证券股份有限公司</w:t>
      </w:r>
      <w:bookmarkEnd w:id="82"/>
      <w:bookmarkEnd w:id="83"/>
      <w:bookmarkEnd w:id="84"/>
      <w:bookmarkEnd w:id="85"/>
      <w:bookmarkEnd w:id="86"/>
    </w:p>
    <w:p>
      <w:pPr>
        <w:spacing w:line="560" w:lineRule="exact"/>
        <w:jc w:val="center"/>
        <w:rPr>
          <w:rFonts w:ascii="仿宋" w:hAnsi="仿宋" w:eastAsia="仿宋" w:cstheme="majorBidi"/>
          <w:b/>
          <w:bCs/>
          <w:sz w:val="32"/>
          <w:szCs w:val="32"/>
        </w:rPr>
      </w:pPr>
      <w:r>
        <w:rPr>
          <w:rFonts w:hint="eastAsia" w:ascii="仿宋" w:hAnsi="仿宋" w:eastAsia="仿宋" w:cstheme="majorBidi"/>
          <w:b/>
          <w:bCs/>
          <w:sz w:val="32"/>
          <w:szCs w:val="32"/>
        </w:rPr>
        <w:t>上海证券交易所主板投资风险揭示书</w:t>
      </w:r>
    </w:p>
    <w:bookmarkEnd w:id="87"/>
    <w:bookmarkEnd w:id="88"/>
    <w:bookmarkEnd w:id="89"/>
    <w:p>
      <w:pPr>
        <w:spacing w:line="360" w:lineRule="auto"/>
        <w:ind w:firstLine="420"/>
        <w:rPr>
          <w:rFonts w:ascii="仿宋" w:hAnsi="仿宋" w:eastAsia="仿宋" w:cs="Arial"/>
          <w:kern w:val="0"/>
          <w:sz w:val="24"/>
        </w:rPr>
      </w:pPr>
      <w:r>
        <w:rPr>
          <w:rFonts w:hint="eastAsia" w:ascii="仿宋" w:hAnsi="仿宋" w:eastAsia="仿宋" w:cs="Arial"/>
          <w:kern w:val="0"/>
          <w:sz w:val="24"/>
        </w:rPr>
        <w:t>尊敬的投资者：</w:t>
      </w:r>
    </w:p>
    <w:p>
      <w:pPr>
        <w:spacing w:line="360" w:lineRule="auto"/>
        <w:ind w:firstLine="480" w:firstLineChars="200"/>
        <w:rPr>
          <w:rFonts w:ascii="仿宋" w:hAnsi="仿宋" w:eastAsia="仿宋" w:cs="Arial"/>
          <w:kern w:val="0"/>
          <w:sz w:val="24"/>
        </w:rPr>
      </w:pPr>
      <w:r>
        <w:rPr>
          <w:rFonts w:hint="eastAsia" w:ascii="仿宋" w:hAnsi="仿宋" w:eastAsia="仿宋" w:cs="Arial"/>
          <w:kern w:val="0"/>
          <w:sz w:val="24"/>
        </w:rPr>
        <w:t>中银国际证券股份有限公司提醒投资者仔细阅读下面的内容，以便正确、全面地了解上海证券交易所主板股票、存托凭证（以下统称股票）申购、交易风险。</w:t>
      </w:r>
    </w:p>
    <w:p>
      <w:pPr>
        <w:spacing w:line="360" w:lineRule="auto"/>
        <w:ind w:firstLine="420"/>
        <w:rPr>
          <w:rFonts w:ascii="仿宋" w:hAnsi="仿宋" w:eastAsia="仿宋" w:cs="Arial"/>
          <w:color w:val="000000"/>
          <w:kern w:val="0"/>
          <w:sz w:val="24"/>
        </w:rPr>
      </w:pPr>
      <w:r>
        <w:rPr>
          <w:rFonts w:hint="eastAsia" w:ascii="仿宋" w:hAnsi="仿宋" w:eastAsia="仿宋" w:cs="Arial"/>
          <w:kern w:val="0"/>
          <w:sz w:val="24"/>
        </w:rPr>
        <w:t>一、</w:t>
      </w:r>
      <w:r>
        <w:rPr>
          <w:rFonts w:hint="eastAsia" w:ascii="仿宋" w:hAnsi="仿宋" w:eastAsia="仿宋" w:cs="Arial"/>
          <w:color w:val="000000"/>
          <w:kern w:val="0"/>
          <w:sz w:val="24"/>
        </w:rPr>
        <w:t xml:space="preserve">投资者在参与主板股票投资前，应当充分知悉主板股票发行、上市、交易、持续监管等相关制度安排，深入了解相关上市公司基本面情况，并根据自身财务状况、风险承受能力等，审慎考虑是否申购、交易主板股票。 </w:t>
      </w:r>
    </w:p>
    <w:p>
      <w:pPr>
        <w:numPr>
          <w:ilvl w:val="255"/>
          <w:numId w:val="0"/>
        </w:numPr>
        <w:spacing w:line="360" w:lineRule="auto"/>
        <w:ind w:firstLine="420"/>
        <w:rPr>
          <w:rFonts w:ascii="仿宋" w:hAnsi="仿宋" w:eastAsia="仿宋" w:cs="Arial"/>
          <w:kern w:val="0"/>
          <w:sz w:val="24"/>
        </w:rPr>
      </w:pPr>
      <w:r>
        <w:rPr>
          <w:rFonts w:hint="eastAsia" w:ascii="仿宋" w:hAnsi="仿宋" w:eastAsia="仿宋" w:cs="Arial"/>
          <w:kern w:val="0"/>
          <w:sz w:val="24"/>
        </w:rPr>
        <w:t>二、主板上市公司可能存在有累计未弥补亏损、最近3个会计年度未能连续盈利等情形；已在境外上市的红筹企业、未在境外上市的红筹企业、存在表决权差异安排的企业具有差异化上市标准，投资者应当关注。</w:t>
      </w:r>
    </w:p>
    <w:p>
      <w:pPr>
        <w:spacing w:line="360" w:lineRule="auto"/>
        <w:ind w:firstLine="420"/>
        <w:rPr>
          <w:rFonts w:ascii="仿宋" w:hAnsi="仿宋" w:eastAsia="仿宋" w:cs="Arial"/>
          <w:color w:val="000000"/>
          <w:kern w:val="0"/>
          <w:sz w:val="24"/>
        </w:rPr>
      </w:pPr>
      <w:r>
        <w:rPr>
          <w:rFonts w:hint="eastAsia" w:ascii="仿宋" w:hAnsi="仿宋" w:eastAsia="仿宋" w:cs="Arial"/>
          <w:color w:val="000000"/>
          <w:kern w:val="0"/>
          <w:sz w:val="24"/>
        </w:rPr>
        <w:t>三、</w:t>
      </w:r>
      <w:r>
        <w:rPr>
          <w:rFonts w:hint="eastAsia" w:ascii="仿宋" w:hAnsi="仿宋" w:eastAsia="仿宋" w:cs="Arial"/>
          <w:kern w:val="0"/>
          <w:sz w:val="24"/>
        </w:rPr>
        <w:t>首次公开发行主板股票</w:t>
      </w:r>
      <w:r>
        <w:rPr>
          <w:rFonts w:hint="eastAsia" w:ascii="仿宋" w:hAnsi="仿宋" w:eastAsia="仿宋" w:cs="Arial"/>
          <w:color w:val="000000"/>
          <w:kern w:val="0"/>
          <w:sz w:val="24"/>
        </w:rPr>
        <w:t>可能采用直接定价或者询价定价方式。采用询价定价方式的，询价对象除了证券公司等专业机构投资者外，还包括符合一定条件的其他法人和组织、个人投资者。</w:t>
      </w:r>
    </w:p>
    <w:p>
      <w:pPr>
        <w:spacing w:line="360" w:lineRule="auto"/>
        <w:ind w:firstLine="420"/>
        <w:rPr>
          <w:rFonts w:ascii="仿宋" w:hAnsi="仿宋" w:eastAsia="仿宋" w:cs="Arial"/>
          <w:color w:val="000000"/>
          <w:kern w:val="0"/>
          <w:sz w:val="24"/>
        </w:rPr>
      </w:pPr>
      <w:r>
        <w:rPr>
          <w:rFonts w:hint="eastAsia" w:ascii="仿宋" w:hAnsi="仿宋" w:eastAsia="仿宋" w:cs="Arial"/>
          <w:color w:val="000000"/>
          <w:kern w:val="0"/>
          <w:sz w:val="24"/>
        </w:rPr>
        <w:t>四、</w:t>
      </w:r>
      <w:r>
        <w:rPr>
          <w:rFonts w:hint="eastAsia" w:ascii="仿宋" w:hAnsi="仿宋" w:eastAsia="仿宋" w:cs="Arial"/>
          <w:kern w:val="0"/>
          <w:sz w:val="24"/>
        </w:rPr>
        <w:t>首次公开发行主板股票</w:t>
      </w:r>
      <w:r>
        <w:rPr>
          <w:rFonts w:hint="eastAsia" w:ascii="仿宋" w:hAnsi="仿宋" w:eastAsia="仿宋" w:cs="Arial"/>
          <w:color w:val="000000"/>
          <w:kern w:val="0"/>
          <w:sz w:val="24"/>
        </w:rPr>
        <w:t>采用询价方式的，初步询价结束后，发行人预计发行后总市值不满足其在招股说明书中明确选择的市值与财务指标上市标准的，将按规定中止发行。</w:t>
      </w:r>
    </w:p>
    <w:p>
      <w:pPr>
        <w:spacing w:line="360" w:lineRule="auto"/>
        <w:ind w:firstLine="420"/>
        <w:rPr>
          <w:rFonts w:ascii="仿宋" w:hAnsi="仿宋" w:eastAsia="仿宋" w:cs="Arial"/>
          <w:color w:val="000000"/>
          <w:kern w:val="0"/>
          <w:sz w:val="24"/>
        </w:rPr>
      </w:pPr>
      <w:r>
        <w:rPr>
          <w:rFonts w:hint="eastAsia" w:ascii="仿宋" w:hAnsi="仿宋" w:eastAsia="仿宋" w:cs="Arial"/>
          <w:color w:val="000000"/>
          <w:kern w:val="0"/>
          <w:sz w:val="24"/>
        </w:rPr>
        <w:t>五、</w:t>
      </w:r>
      <w:r>
        <w:rPr>
          <w:rFonts w:hint="eastAsia" w:ascii="仿宋" w:hAnsi="仿宋" w:eastAsia="仿宋" w:cs="Arial"/>
          <w:kern w:val="0"/>
          <w:sz w:val="24"/>
        </w:rPr>
        <w:t>首次公开发行主板股票</w:t>
      </w:r>
      <w:r>
        <w:rPr>
          <w:rFonts w:hint="eastAsia" w:ascii="仿宋" w:hAnsi="仿宋" w:eastAsia="仿宋" w:cs="Arial"/>
          <w:color w:val="000000"/>
          <w:kern w:val="0"/>
          <w:sz w:val="24"/>
        </w:rPr>
        <w:t>采用询价方式的，可能存在发行价格超过剔除最高报价部分后全部网下投资者剩余报价的中位数和加权平均数，以及公募基金等六类产品剩余报价的中位数和加权平均数的孰低值的情况；可能存在发行价格超过境外市场价格或者其对应市盈率超过同行业上市公司二级市场平均市盈率等情形，投资者参与申购前应关注投资风险特别公告等与定价合理性相关的信息，注意投资风险</w:t>
      </w:r>
      <w:r>
        <w:rPr>
          <w:rFonts w:hint="eastAsia" w:ascii="仿宋" w:hAnsi="仿宋" w:eastAsia="仿宋" w:cs="Arial"/>
          <w:kern w:val="0"/>
          <w:sz w:val="24"/>
        </w:rPr>
        <w:t>。</w:t>
      </w:r>
    </w:p>
    <w:p>
      <w:pPr>
        <w:spacing w:line="360" w:lineRule="auto"/>
        <w:ind w:firstLine="420"/>
        <w:rPr>
          <w:rFonts w:ascii="仿宋" w:hAnsi="仿宋" w:eastAsia="仿宋" w:cs="Arial"/>
          <w:kern w:val="0"/>
          <w:sz w:val="24"/>
        </w:rPr>
      </w:pPr>
      <w:r>
        <w:rPr>
          <w:rFonts w:hint="eastAsia" w:ascii="仿宋" w:hAnsi="仿宋" w:eastAsia="仿宋" w:cs="Arial"/>
          <w:color w:val="000000"/>
          <w:kern w:val="0"/>
          <w:sz w:val="24"/>
        </w:rPr>
        <w:t>六、根据首次公开发行主板股票发行后总股本差异等情形，网上初始发行比例可能有所差别；根据网上投资者有效申购倍数差异，可能存在不同的网下向网上回拨比例，投资者应当关注。</w:t>
      </w:r>
    </w:p>
    <w:p>
      <w:pPr>
        <w:spacing w:line="360" w:lineRule="auto"/>
        <w:ind w:firstLine="420"/>
        <w:rPr>
          <w:rFonts w:ascii="仿宋" w:hAnsi="仿宋" w:eastAsia="仿宋" w:cs="Arial"/>
          <w:color w:val="000000"/>
          <w:kern w:val="0"/>
          <w:sz w:val="24"/>
        </w:rPr>
      </w:pPr>
      <w:r>
        <w:rPr>
          <w:rFonts w:hint="eastAsia" w:ascii="仿宋" w:hAnsi="仿宋" w:eastAsia="仿宋" w:cs="Arial"/>
          <w:color w:val="000000"/>
          <w:kern w:val="0"/>
          <w:sz w:val="24"/>
        </w:rPr>
        <w:t>七、</w:t>
      </w:r>
      <w:r>
        <w:rPr>
          <w:rFonts w:hint="eastAsia" w:ascii="仿宋" w:hAnsi="仿宋" w:eastAsia="仿宋" w:cs="Arial"/>
          <w:kern w:val="0"/>
          <w:sz w:val="24"/>
        </w:rPr>
        <w:t>首次公开发行主板股票</w:t>
      </w:r>
      <w:r>
        <w:rPr>
          <w:rFonts w:hint="eastAsia" w:ascii="仿宋" w:hAnsi="仿宋" w:eastAsia="仿宋" w:cs="Arial"/>
          <w:color w:val="000000"/>
          <w:kern w:val="0"/>
          <w:sz w:val="24"/>
        </w:rPr>
        <w:t>时，发行人和主承销商可以采用超额配售选择权，即存在发行人增发主板股票的可能性。投资者应关注发行公告中披露全额行使超额配售选择权拟发行证券的具体数量。</w:t>
      </w:r>
    </w:p>
    <w:p>
      <w:pPr>
        <w:spacing w:line="360" w:lineRule="auto"/>
        <w:ind w:firstLine="420"/>
        <w:rPr>
          <w:rFonts w:ascii="仿宋" w:hAnsi="仿宋" w:eastAsia="仿宋" w:cs="Arial"/>
          <w:color w:val="000000"/>
          <w:kern w:val="0"/>
          <w:sz w:val="24"/>
        </w:rPr>
      </w:pPr>
      <w:r>
        <w:rPr>
          <w:rFonts w:hint="eastAsia" w:ascii="仿宋" w:hAnsi="仿宋" w:eastAsia="仿宋" w:cs="Arial"/>
          <w:color w:val="000000"/>
          <w:kern w:val="0"/>
          <w:sz w:val="24"/>
        </w:rPr>
        <w:t>八、主板股票可能主动终止上市，也可能因触及强制退市情形被终止上市。主动退市或因触及交易类强制退市情形被终止上市的主板股票，不进入退市整理期，直接予以摘牌；因触及重大违法类、财务类或者规范类强制退市情形被终止上市的主板股票，进入退市整理期交易15个交易日后予以摘牌。投资者应当及时了解相关信息和规定，密切关注退市风险。</w:t>
      </w:r>
    </w:p>
    <w:p>
      <w:pPr>
        <w:spacing w:line="360" w:lineRule="auto"/>
        <w:ind w:firstLine="420"/>
        <w:rPr>
          <w:rFonts w:ascii="仿宋" w:hAnsi="仿宋" w:eastAsia="仿宋" w:cs="Arial"/>
          <w:kern w:val="0"/>
          <w:sz w:val="24"/>
        </w:rPr>
      </w:pPr>
      <w:r>
        <w:rPr>
          <w:rFonts w:hint="eastAsia" w:ascii="仿宋" w:hAnsi="仿宋" w:eastAsia="仿宋" w:cs="Arial"/>
          <w:color w:val="000000"/>
          <w:kern w:val="0"/>
          <w:sz w:val="24"/>
        </w:rPr>
        <w:t>九、主板上市公司可能设置表决权差异安排。上市公司可能根据此项安排，存在控制权相对集中，以及因每一特别表决权股份拥有的表决权数量大于每一普通股份拥有的表决权数量等情形，而使</w:t>
      </w:r>
      <w:r>
        <w:rPr>
          <w:rFonts w:hint="eastAsia" w:ascii="仿宋" w:hAnsi="仿宋" w:eastAsia="仿宋" w:cs="Arial"/>
          <w:kern w:val="0"/>
          <w:sz w:val="24"/>
        </w:rPr>
        <w:t>普通投资者的表决权利及对公司日常经营等事务的影响力受到限制。</w:t>
      </w:r>
    </w:p>
    <w:p>
      <w:pPr>
        <w:spacing w:line="360" w:lineRule="auto"/>
        <w:ind w:firstLine="420"/>
        <w:rPr>
          <w:rFonts w:ascii="仿宋" w:hAnsi="仿宋" w:eastAsia="仿宋" w:cs="Arial"/>
          <w:kern w:val="0"/>
          <w:sz w:val="24"/>
        </w:rPr>
      </w:pPr>
      <w:r>
        <w:rPr>
          <w:rFonts w:hint="eastAsia" w:ascii="仿宋" w:hAnsi="仿宋" w:eastAsia="仿宋" w:cs="Arial"/>
          <w:kern w:val="0"/>
          <w:sz w:val="24"/>
        </w:rPr>
        <w:t>十、出现《上海证券交易所股票上市规则》以及上市公司章程规定的情形时，特别表决权股份将按1:1的比例转换为普通股份。股份转换自相关情形发生时即生效，可能与相关股份转换登记时点存在差异。投资者需及时关注上市公司相关公告，以了解特别表决权股份变动事宜。</w:t>
      </w:r>
    </w:p>
    <w:p>
      <w:pPr>
        <w:spacing w:line="360" w:lineRule="auto"/>
        <w:ind w:firstLine="420"/>
        <w:rPr>
          <w:rFonts w:ascii="仿宋" w:hAnsi="仿宋" w:eastAsia="仿宋" w:cs="Arial"/>
          <w:kern w:val="0"/>
          <w:sz w:val="24"/>
        </w:rPr>
      </w:pPr>
      <w:r>
        <w:rPr>
          <w:rFonts w:hint="eastAsia" w:ascii="仿宋" w:hAnsi="仿宋" w:eastAsia="仿宋" w:cs="Arial"/>
          <w:kern w:val="0"/>
          <w:sz w:val="24"/>
        </w:rPr>
        <w:t>十一、主板股票</w:t>
      </w:r>
      <w:r>
        <w:rPr>
          <w:rFonts w:hint="eastAsia" w:ascii="仿宋" w:hAnsi="仿宋" w:eastAsia="仿宋" w:cs="Arial"/>
          <w:kern w:val="0"/>
          <w:sz w:val="24"/>
          <w:lang w:val="en-US" w:eastAsia="zh-CN"/>
        </w:rPr>
        <w:t>的</w:t>
      </w:r>
      <w:r>
        <w:rPr>
          <w:rFonts w:hint="eastAsia" w:ascii="仿宋" w:hAnsi="仿宋" w:eastAsia="仿宋" w:cs="Arial"/>
          <w:kern w:val="0"/>
          <w:sz w:val="24"/>
        </w:rPr>
        <w:t>价格涨跌幅限制为10%，但在首次公开发行上市后的前5个交易日、进入退市整理期的首日、退市后重新上市首日以及上交所认定的其他情形下不实行价格涨跌幅限制，投资者应当关注可能发生的股价波动风险。</w:t>
      </w:r>
    </w:p>
    <w:p>
      <w:pPr>
        <w:spacing w:line="360" w:lineRule="auto"/>
        <w:ind w:firstLine="420"/>
        <w:rPr>
          <w:rFonts w:ascii="仿宋" w:hAnsi="仿宋" w:eastAsia="仿宋" w:cs="Arial"/>
          <w:kern w:val="0"/>
          <w:sz w:val="24"/>
        </w:rPr>
      </w:pPr>
      <w:r>
        <w:rPr>
          <w:rFonts w:hint="eastAsia" w:ascii="仿宋" w:hAnsi="仿宋" w:eastAsia="仿宋" w:cs="Arial"/>
          <w:kern w:val="0"/>
          <w:sz w:val="24"/>
        </w:rPr>
        <w:t>十二、投资者应当关注主板无价格涨跌幅限制股票竞价交易实施盘中临时停牌机制。盘中交易价格较当日开盘价格首次上涨或下跌达到或超过30%、60%，以及出现证监会或者上交所认定的其他情形的，单次临时停牌时间为10分钟，停牌时间跨越14:57且须于当日复牌的，于当日14:57复牌并对已接受的申报进行复牌集合竞价，再进行收盘集合竞价。</w:t>
      </w:r>
    </w:p>
    <w:p>
      <w:pPr>
        <w:spacing w:line="360" w:lineRule="auto"/>
        <w:ind w:firstLine="420"/>
        <w:rPr>
          <w:rFonts w:ascii="仿宋" w:hAnsi="仿宋" w:eastAsia="仿宋" w:cs="Arial"/>
          <w:kern w:val="0"/>
          <w:sz w:val="24"/>
        </w:rPr>
      </w:pPr>
      <w:r>
        <w:rPr>
          <w:rFonts w:hint="eastAsia" w:ascii="仿宋" w:hAnsi="仿宋" w:eastAsia="仿宋" w:cs="Arial"/>
          <w:kern w:val="0"/>
          <w:sz w:val="24"/>
        </w:rPr>
        <w:t>十三、投资者应当关注股票集合竞价和连续竞价阶段有效申报价格范围的相关要求，避免影响申报。申报时超过涨跌幅限制价格或者有效申报价格范围的申报为无效申报。</w:t>
      </w:r>
    </w:p>
    <w:p>
      <w:pPr>
        <w:spacing w:line="360" w:lineRule="auto"/>
        <w:ind w:firstLine="420"/>
        <w:rPr>
          <w:rFonts w:hint="eastAsia" w:ascii="仿宋" w:hAnsi="仿宋" w:eastAsia="仿宋" w:cs="Arial"/>
          <w:kern w:val="0"/>
          <w:sz w:val="24"/>
        </w:rPr>
      </w:pPr>
      <w:r>
        <w:rPr>
          <w:rFonts w:hint="eastAsia" w:ascii="仿宋" w:hAnsi="仿宋" w:eastAsia="仿宋" w:cs="Arial"/>
          <w:kern w:val="0"/>
          <w:sz w:val="24"/>
        </w:rPr>
        <w:t>十四、投资者需关注主板交易方式包括竞价交易、盘后固定价格交易及大宗交易，不同交易方式的交易时间、申报要求、成交原则等存在差异。</w:t>
      </w:r>
    </w:p>
    <w:p>
      <w:pPr>
        <w:spacing w:line="360" w:lineRule="auto"/>
        <w:ind w:firstLine="420"/>
        <w:rPr>
          <w:rFonts w:ascii="仿宋" w:hAnsi="仿宋" w:eastAsia="仿宋" w:cs="Arial"/>
          <w:kern w:val="0"/>
          <w:sz w:val="24"/>
        </w:rPr>
      </w:pPr>
      <w:r>
        <w:rPr>
          <w:rFonts w:hint="eastAsia" w:ascii="仿宋" w:hAnsi="仿宋" w:eastAsia="仿宋" w:cs="Arial"/>
          <w:kern w:val="0"/>
          <w:sz w:val="24"/>
          <w:lang w:val="en-US" w:eastAsia="zh-CN"/>
        </w:rPr>
        <w:t>十五、</w:t>
      </w:r>
      <w:r>
        <w:rPr>
          <w:rFonts w:hint="eastAsia" w:ascii="仿宋" w:hAnsi="仿宋" w:eastAsia="仿宋" w:cs="Arial"/>
          <w:kern w:val="0"/>
          <w:sz w:val="24"/>
        </w:rPr>
        <w:t>按照《首次公开发行股票注册管理办法》发行的主板股票，上市首日即可作为融资融券标的，投资者应注意相关风险。</w:t>
      </w:r>
    </w:p>
    <w:p>
      <w:pPr>
        <w:spacing w:line="360" w:lineRule="auto"/>
        <w:ind w:firstLine="420"/>
        <w:rPr>
          <w:rFonts w:ascii="仿宋" w:hAnsi="仿宋" w:eastAsia="仿宋" w:cs="Arial"/>
          <w:kern w:val="0"/>
          <w:sz w:val="24"/>
        </w:rPr>
      </w:pPr>
      <w:r>
        <w:rPr>
          <w:rFonts w:hint="eastAsia" w:ascii="仿宋" w:hAnsi="仿宋" w:eastAsia="仿宋" w:cs="Arial"/>
          <w:kern w:val="0"/>
          <w:sz w:val="24"/>
        </w:rPr>
        <w:t>十</w:t>
      </w:r>
      <w:r>
        <w:rPr>
          <w:rFonts w:hint="eastAsia" w:ascii="仿宋" w:hAnsi="仿宋" w:eastAsia="仿宋" w:cs="Arial"/>
          <w:kern w:val="0"/>
          <w:sz w:val="24"/>
          <w:lang w:val="en-US" w:eastAsia="zh-CN"/>
        </w:rPr>
        <w:t>六</w:t>
      </w:r>
      <w:r>
        <w:rPr>
          <w:rFonts w:hint="eastAsia" w:ascii="仿宋" w:hAnsi="仿宋" w:eastAsia="仿宋" w:cs="Arial"/>
          <w:kern w:val="0"/>
          <w:sz w:val="24"/>
        </w:rPr>
        <w:t>、投资者应当关注主板股票交易可能触发的异常波动和严重异常波动情形，知悉严重异常波动情形可能导致停牌核查，审慎参与相关股票交易。</w:t>
      </w:r>
    </w:p>
    <w:p>
      <w:pPr>
        <w:spacing w:line="360" w:lineRule="auto"/>
        <w:ind w:firstLine="420"/>
        <w:rPr>
          <w:rFonts w:ascii="仿宋" w:hAnsi="仿宋" w:eastAsia="仿宋" w:cs="Arial"/>
          <w:color w:val="000000"/>
          <w:kern w:val="0"/>
          <w:sz w:val="24"/>
        </w:rPr>
      </w:pPr>
      <w:r>
        <w:rPr>
          <w:rFonts w:hint="eastAsia" w:ascii="仿宋" w:hAnsi="仿宋" w:eastAsia="仿宋" w:cs="Arial"/>
          <w:color w:val="000000"/>
          <w:kern w:val="0"/>
          <w:sz w:val="24"/>
        </w:rPr>
        <w:t>十</w:t>
      </w:r>
      <w:r>
        <w:rPr>
          <w:rFonts w:hint="eastAsia" w:ascii="仿宋" w:hAnsi="仿宋" w:eastAsia="仿宋" w:cs="Arial"/>
          <w:color w:val="000000"/>
          <w:kern w:val="0"/>
          <w:sz w:val="24"/>
          <w:lang w:val="en-US" w:eastAsia="zh-CN"/>
        </w:rPr>
        <w:t>七</w:t>
      </w:r>
      <w:r>
        <w:rPr>
          <w:rFonts w:hint="eastAsia" w:ascii="仿宋" w:hAnsi="仿宋" w:eastAsia="仿宋" w:cs="Arial"/>
          <w:color w:val="000000"/>
          <w:kern w:val="0"/>
          <w:sz w:val="24"/>
        </w:rPr>
        <w:t xml:space="preserve">、符合相关规定的红筹企业可以在主板上市。红筹企业在境外注册，可能采用协议控制架构，在上市标准、信息披露、分红派息、退市标准等方面可能与境内上市公司存在差异。红筹企业的股权结构、公司治理、运行规范等事项适用境外注册地公司法等法律法规的，其投资者权益保护水平总体上应不低于境内法律法规等要求，但可能与境内法律法规等要求为境内投资者权益提供的保护存在差异。                                                                                                                                                                                                                                                                                                                                                                                                                                                                                                                                                                                                                                                                                                                                                                                                                                                                                                                                                                                                                                                                                                                                                                                                                                                                                                                                                                                                                                                                                                                                                                                                                                                                                                                                                                                                                                                                                                                                                                                                                                                                                                                                                                         </w:t>
      </w:r>
    </w:p>
    <w:p>
      <w:pPr>
        <w:spacing w:line="360" w:lineRule="auto"/>
        <w:ind w:firstLine="480" w:firstLineChars="200"/>
        <w:rPr>
          <w:rFonts w:ascii="仿宋" w:hAnsi="仿宋" w:eastAsia="仿宋" w:cs="Arial"/>
          <w:kern w:val="0"/>
          <w:sz w:val="24"/>
        </w:rPr>
      </w:pPr>
      <w:r>
        <w:rPr>
          <w:rFonts w:hint="eastAsia" w:ascii="仿宋" w:hAnsi="仿宋" w:eastAsia="仿宋" w:cs="Arial"/>
          <w:kern w:val="0"/>
          <w:sz w:val="24"/>
        </w:rPr>
        <w:t>十</w:t>
      </w:r>
      <w:r>
        <w:rPr>
          <w:rFonts w:hint="eastAsia" w:ascii="仿宋" w:hAnsi="仿宋" w:eastAsia="仿宋" w:cs="Arial"/>
          <w:kern w:val="0"/>
          <w:sz w:val="24"/>
          <w:lang w:val="en-US" w:eastAsia="zh-CN"/>
        </w:rPr>
        <w:t>八</w:t>
      </w:r>
      <w:r>
        <w:rPr>
          <w:rFonts w:hint="eastAsia" w:ascii="仿宋" w:hAnsi="仿宋" w:eastAsia="仿宋" w:cs="Arial"/>
          <w:kern w:val="0"/>
          <w:sz w:val="24"/>
        </w:rPr>
        <w:t>、</w:t>
      </w:r>
      <w:r>
        <w:rPr>
          <w:rFonts w:hint="eastAsia" w:ascii="仿宋" w:hAnsi="仿宋" w:eastAsia="仿宋" w:cs="Arial"/>
          <w:color w:val="000000"/>
          <w:kern w:val="0"/>
          <w:sz w:val="24"/>
        </w:rPr>
        <w:t>红筹企业可以发行股票或存托凭证并在主板上市。</w:t>
      </w:r>
      <w:r>
        <w:rPr>
          <w:rFonts w:hint="eastAsia" w:ascii="仿宋" w:hAnsi="仿宋" w:eastAsia="仿宋" w:cs="Arial"/>
          <w:kern w:val="0"/>
          <w:sz w:val="24"/>
        </w:rPr>
        <w:t>存托凭证由存托人签发、以境外证券为基础在中国境内发行，代表境外基础证券权益。红筹企业存托凭证持有人实际享有的权益与境外基础证券持有人的权益虽然基本相当,但并不能等同于直接持有境外基础证券。</w:t>
      </w:r>
      <w:r>
        <w:rPr>
          <w:rFonts w:hint="eastAsia" w:ascii="仿宋" w:hAnsi="仿宋" w:eastAsia="仿宋" w:cs="Arial"/>
          <w:color w:val="000000"/>
          <w:kern w:val="0"/>
          <w:sz w:val="24"/>
        </w:rPr>
        <w:t>投资者</w:t>
      </w:r>
      <w:r>
        <w:rPr>
          <w:rFonts w:hint="eastAsia" w:ascii="仿宋" w:hAnsi="仿宋" w:eastAsia="仿宋" w:cs="Arial"/>
          <w:kern w:val="0"/>
          <w:sz w:val="24"/>
        </w:rPr>
        <w:t>应当充分知悉存托协议和相关规则的具体内容，关注交易和持有过程中可能存在的风险。</w:t>
      </w:r>
    </w:p>
    <w:p>
      <w:pPr>
        <w:spacing w:line="360" w:lineRule="auto"/>
        <w:ind w:firstLine="480" w:firstLineChars="200"/>
        <w:rPr>
          <w:rFonts w:ascii="仿宋" w:hAnsi="仿宋" w:eastAsia="仿宋" w:cs="Arial"/>
          <w:bCs/>
          <w:kern w:val="0"/>
          <w:sz w:val="24"/>
        </w:rPr>
      </w:pPr>
      <w:r>
        <w:rPr>
          <w:rFonts w:hint="eastAsia" w:ascii="仿宋" w:hAnsi="仿宋" w:eastAsia="仿宋" w:cs="Arial"/>
          <w:bCs/>
          <w:kern w:val="0"/>
          <w:sz w:val="24"/>
        </w:rPr>
        <w:t>十</w:t>
      </w:r>
      <w:r>
        <w:rPr>
          <w:rFonts w:hint="eastAsia" w:ascii="仿宋" w:hAnsi="仿宋" w:eastAsia="仿宋" w:cs="Arial"/>
          <w:bCs/>
          <w:kern w:val="0"/>
          <w:sz w:val="24"/>
          <w:lang w:val="en-US" w:eastAsia="zh-CN"/>
        </w:rPr>
        <w:t>九</w:t>
      </w:r>
      <w:r>
        <w:rPr>
          <w:rFonts w:hint="eastAsia" w:ascii="仿宋" w:hAnsi="仿宋" w:eastAsia="仿宋" w:cs="Arial"/>
          <w:bCs/>
          <w:kern w:val="0"/>
          <w:sz w:val="24"/>
        </w:rPr>
        <w:t>、主板相关法律、行政法规、部门规章、规范性文件（以下简称法律法规）和交易所业务规则，可能根据市场情况进行修改，或者制定新的法律法规和业务规则，投资者应当及时予以关注和了解。</w:t>
      </w:r>
    </w:p>
    <w:p>
      <w:pPr>
        <w:spacing w:line="360" w:lineRule="auto"/>
        <w:ind w:firstLine="480" w:firstLineChars="200"/>
        <w:rPr>
          <w:rFonts w:ascii="仿宋" w:hAnsi="仿宋" w:eastAsia="仿宋" w:cs="Arial"/>
          <w:kern w:val="0"/>
          <w:sz w:val="24"/>
        </w:rPr>
      </w:pPr>
      <w:r>
        <w:rPr>
          <w:rFonts w:hint="eastAsia" w:ascii="仿宋" w:hAnsi="仿宋" w:eastAsia="仿宋" w:cs="Arial"/>
          <w:kern w:val="0"/>
          <w:sz w:val="24"/>
        </w:rPr>
        <w:t>中银国际证券股份有限公司郑重提醒：</w:t>
      </w:r>
    </w:p>
    <w:p>
      <w:pPr>
        <w:spacing w:line="360" w:lineRule="auto"/>
        <w:ind w:firstLine="482" w:firstLineChars="200"/>
        <w:rPr>
          <w:rFonts w:ascii="仿宋" w:hAnsi="仿宋" w:eastAsia="仿宋" w:cs="Arial"/>
          <w:b/>
          <w:kern w:val="0"/>
          <w:sz w:val="24"/>
        </w:rPr>
      </w:pPr>
      <w:r>
        <w:rPr>
          <w:rFonts w:hint="eastAsia" w:ascii="仿宋" w:hAnsi="仿宋" w:eastAsia="仿宋" w:cs="Arial"/>
          <w:b/>
          <w:kern w:val="0"/>
          <w:sz w:val="24"/>
        </w:rPr>
        <w:t>本风险揭示书的揭示事项仅为列举事项，未能详尽载明该项业务的所有风险。投资者在参与该项业务前，应当认真阅读信息披露公告、业务协议、产品说明书等法律文件，熟悉该项业务相关法律法规、交易所相关业务规则等，对其他可能存在的风险因素也应当有所了解和掌握，并确信自己已经做好足够的风险控制和财务安排，避免因参与该项业务遭受难以承受的风险。</w:t>
      </w:r>
    </w:p>
    <w:p>
      <w:pPr>
        <w:spacing w:line="360" w:lineRule="auto"/>
        <w:ind w:firstLine="482" w:firstLineChars="200"/>
        <w:rPr>
          <w:rFonts w:ascii="仿宋" w:hAnsi="仿宋" w:eastAsia="仿宋" w:cs="Arial"/>
          <w:b/>
          <w:kern w:val="0"/>
          <w:sz w:val="24"/>
        </w:rPr>
      </w:pPr>
      <w:r>
        <w:rPr>
          <w:rFonts w:hint="eastAsia" w:ascii="仿宋" w:hAnsi="仿宋" w:eastAsia="仿宋" w:cs="Arial"/>
          <w:b/>
          <w:kern w:val="0"/>
          <w:sz w:val="24"/>
        </w:rPr>
        <w:t>投资者应当充分理解参与相关业务应当具备的经济能力、专业知识和投资经验，全面评估自身的经济承受能力、投资经历、产品认知能力、风险控制能力、身体及心理承受能力等，审慎决定是否参与相关业务。投资者在风险揭示书上签字，或者专业投资者经充分告知风险后仍决定参与相关业务的，即表明其已经理解并愿意自行承担参与该项业务的风险和损失。</w:t>
      </w:r>
    </w:p>
    <w:p>
      <w:pPr>
        <w:spacing w:line="360" w:lineRule="auto"/>
        <w:ind w:firstLine="480" w:firstLineChars="200"/>
        <w:rPr>
          <w:rFonts w:ascii="仿宋" w:hAnsi="仿宋" w:eastAsia="仿宋" w:cs="Arial"/>
          <w:kern w:val="0"/>
          <w:sz w:val="24"/>
        </w:rPr>
      </w:pPr>
      <w:r>
        <w:rPr>
          <w:rFonts w:hint="eastAsia" w:ascii="仿宋" w:hAnsi="仿宋" w:eastAsia="仿宋" w:cs="Arial"/>
          <w:kern w:val="0"/>
          <w:sz w:val="24"/>
        </w:rPr>
        <w:t>本人/机构确认已知晓并理解本《风险揭示书》的全部内容，已理解并愿意自行承担参与主板股票交易的风险和损失。</w:t>
      </w:r>
    </w:p>
    <w:p>
      <w:pPr>
        <w:tabs>
          <w:tab w:val="left" w:pos="4500"/>
        </w:tabs>
        <w:spacing w:line="360" w:lineRule="auto"/>
        <w:ind w:firstLine="482" w:firstLineChars="200"/>
        <w:rPr>
          <w:rFonts w:ascii="仿宋" w:hAnsi="仿宋" w:eastAsia="仿宋" w:cs="华文中宋"/>
          <w:b/>
          <w:bCs/>
          <w:kern w:val="0"/>
          <w:sz w:val="24"/>
        </w:rPr>
      </w:pPr>
      <w:r>
        <w:rPr>
          <w:rFonts w:hint="eastAsia" w:ascii="仿宋" w:hAnsi="仿宋" w:eastAsia="仿宋"/>
          <w:b/>
          <w:sz w:val="24"/>
        </w:rPr>
        <w:t>本投资者确认已详细阅读并完全理解了上述的各项内容，在签署页签署视同签署认可。</w:t>
      </w:r>
    </w:p>
    <w:p>
      <w:pPr>
        <w:pStyle w:val="8"/>
        <w:spacing w:line="240" w:lineRule="exact"/>
        <w:ind w:firstLine="0" w:firstLineChars="0"/>
        <w:rPr>
          <w:rFonts w:ascii="仿宋" w:hAnsi="仿宋" w:eastAsia="仿宋"/>
          <w:sz w:val="30"/>
          <w:szCs w:val="30"/>
        </w:rPr>
      </w:pPr>
    </w:p>
    <w:p>
      <w:pPr>
        <w:pStyle w:val="2"/>
      </w:pPr>
    </w:p>
    <w:p>
      <w:pPr>
        <w:pStyle w:val="2"/>
      </w:pPr>
    </w:p>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
      <w:pPr>
        <w:pStyle w:val="19"/>
        <w:numPr>
          <w:ilvl w:val="0"/>
          <w:numId w:val="1"/>
        </w:numPr>
        <w:spacing w:line="560" w:lineRule="exact"/>
        <w:rPr>
          <w:rFonts w:ascii="仿宋" w:hAnsi="仿宋" w:eastAsia="仿宋"/>
        </w:rPr>
      </w:pPr>
      <w:bookmarkStart w:id="93" w:name="_Toc18952"/>
      <w:bookmarkStart w:id="94" w:name="_Toc24191"/>
      <w:bookmarkStart w:id="95" w:name="_Toc23399"/>
      <w:bookmarkStart w:id="96" w:name="_Toc6427"/>
      <w:bookmarkStart w:id="97" w:name="_Toc13434"/>
      <w:bookmarkStart w:id="98" w:name="_Toc3793"/>
      <w:bookmarkStart w:id="99" w:name="_Toc9377"/>
      <w:bookmarkStart w:id="100" w:name="_Toc25303"/>
      <w:r>
        <w:rPr>
          <w:rFonts w:hint="eastAsia" w:ascii="仿宋" w:hAnsi="仿宋" w:eastAsia="仿宋"/>
        </w:rPr>
        <w:t>中银国际证券股份有限公司</w:t>
      </w:r>
      <w:bookmarkEnd w:id="93"/>
      <w:bookmarkEnd w:id="94"/>
      <w:bookmarkEnd w:id="95"/>
      <w:bookmarkEnd w:id="96"/>
      <w:bookmarkEnd w:id="97"/>
    </w:p>
    <w:p>
      <w:pPr>
        <w:pStyle w:val="19"/>
        <w:numPr>
          <w:ilvl w:val="255"/>
          <w:numId w:val="0"/>
        </w:numPr>
        <w:spacing w:line="560" w:lineRule="exact"/>
        <w:outlineLvl w:val="9"/>
        <w:rPr>
          <w:rFonts w:ascii="仿宋" w:hAnsi="仿宋" w:eastAsia="仿宋"/>
        </w:rPr>
      </w:pPr>
      <w:bookmarkStart w:id="101" w:name="_Toc30013"/>
      <w:bookmarkStart w:id="102" w:name="_Toc28744"/>
      <w:bookmarkStart w:id="103" w:name="_Toc17809"/>
      <w:bookmarkStart w:id="104" w:name="_Toc14992"/>
      <w:bookmarkStart w:id="105" w:name="_Toc28385"/>
      <w:bookmarkStart w:id="106" w:name="_Toc14674"/>
      <w:r>
        <w:rPr>
          <w:rFonts w:hint="eastAsia" w:ascii="仿宋" w:hAnsi="仿宋" w:eastAsia="仿宋"/>
        </w:rPr>
        <w:t>深圳证券交易所主板投资风险揭示书</w:t>
      </w:r>
      <w:bookmarkEnd w:id="101"/>
      <w:bookmarkEnd w:id="102"/>
      <w:bookmarkEnd w:id="103"/>
      <w:bookmarkEnd w:id="104"/>
      <w:bookmarkEnd w:id="105"/>
      <w:bookmarkEnd w:id="106"/>
    </w:p>
    <w:bookmarkEnd w:id="98"/>
    <w:bookmarkEnd w:id="99"/>
    <w:bookmarkEnd w:id="100"/>
    <w:p>
      <w:pPr>
        <w:spacing w:line="560" w:lineRule="exact"/>
        <w:ind w:firstLine="420"/>
        <w:rPr>
          <w:rFonts w:ascii="仿宋" w:hAnsi="仿宋" w:eastAsia="仿宋" w:cs="Arial"/>
          <w:bCs/>
          <w:kern w:val="0"/>
          <w:sz w:val="24"/>
        </w:rPr>
      </w:pPr>
      <w:r>
        <w:rPr>
          <w:rFonts w:hint="eastAsia" w:ascii="仿宋" w:hAnsi="仿宋" w:eastAsia="仿宋" w:cs="Arial"/>
          <w:bCs/>
          <w:kern w:val="0"/>
          <w:sz w:val="24"/>
        </w:rPr>
        <w:t>尊敬的投资者：</w:t>
      </w:r>
    </w:p>
    <w:p>
      <w:pPr>
        <w:spacing w:line="560" w:lineRule="exact"/>
        <w:ind w:firstLine="480" w:firstLineChars="200"/>
        <w:rPr>
          <w:rFonts w:hint="eastAsia" w:ascii="仿宋" w:hAnsi="仿宋" w:eastAsia="仿宋" w:cs="Arial"/>
          <w:bCs/>
          <w:kern w:val="0"/>
          <w:sz w:val="24"/>
        </w:rPr>
      </w:pPr>
      <w:r>
        <w:rPr>
          <w:rFonts w:hint="eastAsia" w:ascii="仿宋" w:hAnsi="仿宋" w:eastAsia="仿宋" w:cs="Arial"/>
          <w:bCs/>
          <w:kern w:val="0"/>
          <w:sz w:val="24"/>
        </w:rPr>
        <w:t>中银国际证券股份有限公司提醒投资者仔细阅读下面的内容，以便正确、全面地了解深圳证券交易所主板股票、存托凭证（以下统称股票）申购、交易风险。</w:t>
      </w:r>
    </w:p>
    <w:p>
      <w:pPr>
        <w:pStyle w:val="2"/>
        <w:spacing w:line="560" w:lineRule="exact"/>
        <w:rPr>
          <w:rFonts w:hint="eastAsia" w:ascii="仿宋" w:hAnsi="仿宋" w:eastAsia="仿宋" w:cs="仿宋"/>
          <w:sz w:val="24"/>
          <w:szCs w:val="24"/>
        </w:rPr>
      </w:pPr>
      <w:r>
        <w:rPr>
          <w:rFonts w:hint="eastAsia" w:ascii="仿宋" w:hAnsi="仿宋" w:eastAsia="仿宋" w:cs="仿宋"/>
          <w:sz w:val="24"/>
          <w:szCs w:val="24"/>
        </w:rPr>
        <w:t xml:space="preserve">一、投资者在参与主板股票投资前，应当充分知悉主板股票发行、上市、交易、持续监管等相关制度安排，深入了解相关上市公司基本面情况，并根据自身财务状况、风险承受能力等，审慎考虑是否申购、交易主板股票。 </w:t>
      </w:r>
    </w:p>
    <w:p>
      <w:pPr>
        <w:pStyle w:val="2"/>
        <w:spacing w:line="560" w:lineRule="exact"/>
        <w:rPr>
          <w:rFonts w:hint="eastAsia" w:ascii="仿宋" w:hAnsi="仿宋" w:eastAsia="仿宋" w:cs="仿宋"/>
          <w:sz w:val="24"/>
          <w:szCs w:val="24"/>
        </w:rPr>
      </w:pPr>
      <w:r>
        <w:rPr>
          <w:rFonts w:hint="eastAsia" w:ascii="仿宋" w:hAnsi="仿宋" w:eastAsia="仿宋" w:cs="仿宋"/>
          <w:sz w:val="24"/>
          <w:szCs w:val="24"/>
        </w:rPr>
        <w:t xml:space="preserve">二、主板上市公司可能存在有累计未弥补亏损、最近3个会计年度未能连续盈利等情形；已在境外上市的红筹企业、未在境外上市的红筹企业、存在表决权差异安排的企业具有差异化上市标准，投资者应当关注。 </w:t>
      </w:r>
    </w:p>
    <w:p>
      <w:pPr>
        <w:pStyle w:val="2"/>
        <w:spacing w:line="560" w:lineRule="exact"/>
        <w:rPr>
          <w:rFonts w:hint="eastAsia" w:ascii="仿宋" w:hAnsi="仿宋" w:eastAsia="仿宋" w:cs="仿宋"/>
          <w:sz w:val="24"/>
          <w:szCs w:val="24"/>
        </w:rPr>
      </w:pPr>
      <w:r>
        <w:rPr>
          <w:rFonts w:hint="eastAsia" w:ascii="仿宋" w:hAnsi="仿宋" w:eastAsia="仿宋" w:cs="仿宋"/>
          <w:sz w:val="24"/>
          <w:szCs w:val="24"/>
        </w:rPr>
        <w:t xml:space="preserve">三、首次公开发行主板股票可能采用直接定价或者询价定价方式。采用询价定价方式的，询价对象除证券公司等专业机构投资者外，还包括符合一定条件的其他法人和组织、个人投资者。 </w:t>
      </w:r>
    </w:p>
    <w:p>
      <w:pPr>
        <w:pStyle w:val="2"/>
        <w:spacing w:line="560" w:lineRule="exact"/>
        <w:rPr>
          <w:rFonts w:hint="eastAsia" w:ascii="仿宋" w:hAnsi="仿宋" w:eastAsia="仿宋" w:cs="仿宋"/>
          <w:sz w:val="24"/>
          <w:szCs w:val="24"/>
        </w:rPr>
      </w:pPr>
      <w:r>
        <w:rPr>
          <w:rFonts w:hint="eastAsia" w:ascii="仿宋" w:hAnsi="仿宋" w:eastAsia="仿宋" w:cs="仿宋"/>
          <w:sz w:val="24"/>
          <w:szCs w:val="24"/>
        </w:rPr>
        <w:t xml:space="preserve">四、首次公开发行主板股票采用询价方式的，初步询价结束后，发行人预计发行后总市值不满足其在招股说明书中明确选择的市值与财务指标上市标准的，将按规定中止发行。 </w:t>
      </w:r>
    </w:p>
    <w:p>
      <w:pPr>
        <w:pStyle w:val="2"/>
        <w:spacing w:line="560" w:lineRule="exact"/>
        <w:rPr>
          <w:rFonts w:hint="eastAsia" w:ascii="仿宋" w:hAnsi="仿宋" w:eastAsia="仿宋" w:cs="仿宋"/>
          <w:sz w:val="24"/>
          <w:szCs w:val="24"/>
        </w:rPr>
      </w:pPr>
      <w:r>
        <w:rPr>
          <w:rFonts w:hint="eastAsia" w:ascii="仿宋" w:hAnsi="仿宋" w:eastAsia="仿宋" w:cs="仿宋"/>
          <w:sz w:val="24"/>
          <w:szCs w:val="24"/>
        </w:rPr>
        <w:t xml:space="preserve">五、首次公开发行主板股票采用询价方式的，可能存在发行价格超过剔除最高报价部分后所有网下投资者剩余报价的中位数和加权平均数，以及公募基金等六类产品剩余报价的中位数和加权平均数的孰低值的情况；可能存在发行价格超过境外市场价格 或者发行价格对应市盈率超过同行业上市公司二级市场平均市盈率等情形，投资者参与申购前应当关注投资风险特别公告等与定价合理性相关的信息，注意投资风险。 </w:t>
      </w:r>
    </w:p>
    <w:p>
      <w:pPr>
        <w:pStyle w:val="2"/>
        <w:spacing w:line="560" w:lineRule="exact"/>
        <w:rPr>
          <w:rFonts w:hint="eastAsia" w:ascii="仿宋" w:hAnsi="仿宋" w:eastAsia="仿宋" w:cs="仿宋"/>
          <w:sz w:val="24"/>
          <w:szCs w:val="24"/>
        </w:rPr>
      </w:pPr>
      <w:r>
        <w:rPr>
          <w:rFonts w:hint="eastAsia" w:ascii="仿宋" w:hAnsi="仿宋" w:eastAsia="仿宋" w:cs="仿宋"/>
          <w:sz w:val="24"/>
          <w:szCs w:val="24"/>
        </w:rPr>
        <w:t xml:space="preserve">六、根据首次公开发行主板股票发行后总股本差异等情形，网上初始发行比例可能有所差别；根据网上投资者有效申购倍数差异，可能存在不同的网下向网上回拨比例，投资者应当关注。 </w:t>
      </w:r>
    </w:p>
    <w:p>
      <w:pPr>
        <w:pStyle w:val="2"/>
        <w:spacing w:line="560" w:lineRule="exact"/>
        <w:rPr>
          <w:rFonts w:hint="eastAsia" w:ascii="仿宋" w:hAnsi="仿宋" w:eastAsia="仿宋" w:cs="仿宋"/>
          <w:sz w:val="24"/>
          <w:szCs w:val="24"/>
        </w:rPr>
      </w:pPr>
      <w:r>
        <w:rPr>
          <w:rFonts w:hint="eastAsia" w:ascii="仿宋" w:hAnsi="仿宋" w:eastAsia="仿宋" w:cs="仿宋"/>
          <w:sz w:val="24"/>
          <w:szCs w:val="24"/>
        </w:rPr>
        <w:t xml:space="preserve">七、首次公开发行主板股票时，发行人和主承销商可以采用超额配售选择权，即存在发行人增发主板股票的可能性。投资者应当关注发行公告中披露全额行使超额配售选择权拟发行证券的具体数量。 </w:t>
      </w:r>
    </w:p>
    <w:p>
      <w:pPr>
        <w:pStyle w:val="2"/>
        <w:spacing w:line="560" w:lineRule="exact"/>
        <w:rPr>
          <w:rFonts w:hint="eastAsia" w:ascii="仿宋" w:hAnsi="仿宋" w:eastAsia="仿宋" w:cs="仿宋"/>
          <w:sz w:val="24"/>
          <w:szCs w:val="24"/>
        </w:rPr>
      </w:pPr>
      <w:r>
        <w:rPr>
          <w:rFonts w:hint="eastAsia" w:ascii="仿宋" w:hAnsi="仿宋" w:eastAsia="仿宋" w:cs="仿宋"/>
          <w:sz w:val="24"/>
          <w:szCs w:val="24"/>
        </w:rPr>
        <w:t>八、主板上市公司可能主动终止上市，也可能因触及退市情形被强制终止上市。主动终止上市以及因触及交易类强制退市情形被终止上市的，不进入退市整理期，直接予以摘牌；因触及财务类、规范类或者重大违法类强制退市情形被终止上市的，进入退市整理期交易15个交易日后予以摘牌。投资者应当及时了解相关信息和规定，密切关注退市风险。</w:t>
      </w:r>
    </w:p>
    <w:p>
      <w:pPr>
        <w:pStyle w:val="2"/>
        <w:spacing w:line="560" w:lineRule="exact"/>
        <w:rPr>
          <w:rFonts w:hint="eastAsia" w:ascii="仿宋" w:hAnsi="仿宋" w:eastAsia="仿宋" w:cs="仿宋"/>
          <w:sz w:val="24"/>
          <w:szCs w:val="24"/>
        </w:rPr>
      </w:pPr>
      <w:r>
        <w:rPr>
          <w:rFonts w:hint="eastAsia" w:ascii="仿宋" w:hAnsi="仿宋" w:eastAsia="仿宋" w:cs="仿宋"/>
          <w:sz w:val="24"/>
          <w:szCs w:val="24"/>
        </w:rPr>
        <w:t xml:space="preserve">九、主板上市公司可能设置表决权差异安排。上市公司可能根据此项安排，存在控制权相对集中，以及因每一特别表决权股份拥有的表决权数量大于每一普通股份拥有的表决权数量等情形，而使普通投资者的表决权利及对公司日常经营等事务的影响力受到限制。 </w:t>
      </w:r>
    </w:p>
    <w:p>
      <w:pPr>
        <w:pStyle w:val="2"/>
        <w:spacing w:line="560" w:lineRule="exact"/>
        <w:rPr>
          <w:rFonts w:hint="eastAsia" w:ascii="仿宋" w:hAnsi="仿宋" w:eastAsia="仿宋" w:cs="仿宋"/>
          <w:sz w:val="24"/>
          <w:szCs w:val="24"/>
        </w:rPr>
      </w:pPr>
      <w:r>
        <w:rPr>
          <w:rFonts w:hint="eastAsia" w:ascii="仿宋" w:hAnsi="仿宋" w:eastAsia="仿宋" w:cs="仿宋"/>
          <w:sz w:val="24"/>
          <w:szCs w:val="24"/>
        </w:rPr>
        <w:t>十、出现《深圳证券交易所股票上市规则》以及上市公司章程规定的情形时，特别表决权股份将按1:1的比例转换为普通股份。股份转换自相关情形发生时即生效，可能与相关股份转换登记时点存在差异。投资者应当及时关注上市公司相关公告，了解特别表决权股份变动事宜。</w:t>
      </w:r>
    </w:p>
    <w:p>
      <w:pPr>
        <w:pStyle w:val="2"/>
        <w:spacing w:line="560" w:lineRule="exact"/>
        <w:rPr>
          <w:rFonts w:hint="eastAsia" w:ascii="仿宋" w:hAnsi="仿宋" w:eastAsia="仿宋" w:cs="仿宋"/>
          <w:sz w:val="24"/>
          <w:szCs w:val="24"/>
        </w:rPr>
      </w:pPr>
      <w:r>
        <w:rPr>
          <w:rFonts w:hint="eastAsia" w:ascii="仿宋" w:hAnsi="仿宋" w:eastAsia="仿宋" w:cs="仿宋"/>
          <w:sz w:val="24"/>
          <w:szCs w:val="24"/>
        </w:rPr>
        <w:t xml:space="preserve">十一、主板股票的价格涨跌幅限制比例为 10%，但在首次公开发行上市后的前五个交易日、重新上市首日、进入退市整理期的首日以及深交所认定的其他情形下不实行价格涨跌幅限制，投资者应当关注可能发生的股价波动风险。 </w:t>
      </w:r>
    </w:p>
    <w:p>
      <w:pPr>
        <w:pStyle w:val="2"/>
        <w:spacing w:line="560" w:lineRule="exact"/>
        <w:rPr>
          <w:rFonts w:hint="eastAsia" w:ascii="仿宋" w:hAnsi="仿宋" w:eastAsia="仿宋" w:cs="仿宋"/>
          <w:sz w:val="24"/>
          <w:szCs w:val="24"/>
        </w:rPr>
      </w:pPr>
      <w:r>
        <w:rPr>
          <w:rFonts w:hint="eastAsia" w:ascii="仿宋" w:hAnsi="仿宋" w:eastAsia="仿宋" w:cs="仿宋"/>
          <w:sz w:val="24"/>
          <w:szCs w:val="24"/>
        </w:rPr>
        <w:t xml:space="preserve">十二、主板无价格涨跌幅限制股票竞价交易盘中价格较当日开盘价格首次上涨或者下跌达到或者超过30%、60%，以及出现证监会或者深交所认定的其他情形的，实施盘中临时停牌，单次临时停牌时间为10分钟，停牌时间跨越14:57的，于当日14:57复牌并对已接受的申报进行复牌集合竞价，再进行收盘集合竞价。 </w:t>
      </w:r>
    </w:p>
    <w:p>
      <w:pPr>
        <w:pStyle w:val="2"/>
        <w:spacing w:line="560" w:lineRule="exact"/>
        <w:rPr>
          <w:rFonts w:hint="eastAsia" w:ascii="仿宋" w:hAnsi="仿宋" w:eastAsia="仿宋" w:cs="仿宋"/>
          <w:sz w:val="24"/>
          <w:szCs w:val="24"/>
        </w:rPr>
      </w:pPr>
      <w:r>
        <w:rPr>
          <w:rFonts w:hint="eastAsia" w:ascii="仿宋" w:hAnsi="仿宋" w:eastAsia="仿宋" w:cs="仿宋"/>
          <w:sz w:val="24"/>
          <w:szCs w:val="24"/>
        </w:rPr>
        <w:t>十三、投资者应当关注股票集合竞价阶段及连续竞价阶段有效申报价格范围的相关要求，以免影响申报。申报时超过涨跌幅限制价格或者有效申报价格范围的申报为无效申报。</w:t>
      </w:r>
    </w:p>
    <w:p>
      <w:pPr>
        <w:pStyle w:val="2"/>
        <w:spacing w:line="560" w:lineRule="exact"/>
        <w:rPr>
          <w:rFonts w:hint="eastAsia" w:ascii="仿宋" w:hAnsi="仿宋" w:eastAsia="仿宋" w:cs="仿宋"/>
          <w:sz w:val="24"/>
          <w:szCs w:val="24"/>
        </w:rPr>
      </w:pPr>
      <w:r>
        <w:rPr>
          <w:rFonts w:hint="eastAsia" w:ascii="仿宋" w:hAnsi="仿宋" w:eastAsia="仿宋" w:cs="仿宋"/>
          <w:sz w:val="24"/>
          <w:szCs w:val="24"/>
        </w:rPr>
        <w:t>十四、投资者应当关注主板交易方式包括竞价交易、大宗交易以及盘后固定价格交易，不同交易方式的交易时间、申报要求、成交原则等存在差异。</w:t>
      </w:r>
    </w:p>
    <w:p>
      <w:pPr>
        <w:pStyle w:val="2"/>
        <w:spacing w:line="560" w:lineRule="exact"/>
        <w:rPr>
          <w:rFonts w:hint="eastAsia" w:ascii="仿宋" w:hAnsi="仿宋" w:eastAsia="仿宋" w:cs="仿宋"/>
          <w:sz w:val="24"/>
          <w:szCs w:val="24"/>
        </w:rPr>
      </w:pPr>
      <w:r>
        <w:rPr>
          <w:rFonts w:hint="eastAsia" w:ascii="仿宋" w:hAnsi="仿宋" w:eastAsia="仿宋" w:cs="仿宋"/>
          <w:sz w:val="24"/>
          <w:szCs w:val="24"/>
        </w:rPr>
        <w:t xml:space="preserve">十五、按照《首次公开发行股票注册管理办法》发行的主板股票，上市首日即可作为融资融券标的，投资者应当关注相关风险。 </w:t>
      </w:r>
    </w:p>
    <w:p>
      <w:pPr>
        <w:pStyle w:val="2"/>
        <w:spacing w:line="560" w:lineRule="exact"/>
        <w:rPr>
          <w:rFonts w:hint="eastAsia" w:ascii="仿宋" w:hAnsi="仿宋" w:eastAsia="仿宋" w:cs="仿宋"/>
          <w:sz w:val="24"/>
          <w:szCs w:val="24"/>
        </w:rPr>
      </w:pPr>
      <w:r>
        <w:rPr>
          <w:rFonts w:hint="eastAsia" w:ascii="仿宋" w:hAnsi="仿宋" w:eastAsia="仿宋" w:cs="仿宋"/>
          <w:sz w:val="24"/>
          <w:szCs w:val="24"/>
        </w:rPr>
        <w:t xml:space="preserve">十六、投资者应当关注主板股票交易可能触发的异常波动和严重异常波动情形，知悉严重异常波动情形可能导致停牌核查， 审慎参与相关股票交易。 </w:t>
      </w:r>
    </w:p>
    <w:p>
      <w:pPr>
        <w:pStyle w:val="2"/>
        <w:spacing w:line="560" w:lineRule="exact"/>
        <w:rPr>
          <w:rFonts w:hint="eastAsia" w:ascii="仿宋" w:hAnsi="仿宋" w:eastAsia="仿宋" w:cs="仿宋"/>
          <w:sz w:val="24"/>
          <w:szCs w:val="24"/>
        </w:rPr>
      </w:pPr>
      <w:r>
        <w:rPr>
          <w:rFonts w:hint="eastAsia" w:ascii="仿宋" w:hAnsi="仿宋" w:eastAsia="仿宋" w:cs="仿宋"/>
          <w:sz w:val="24"/>
          <w:szCs w:val="24"/>
        </w:rPr>
        <w:t xml:space="preserve">十七、符合相关规定的红筹企业可以在主板上市。红筹企业在境外注册，可能采用协议控制架构，在上市标准、信息披露、分红派息、退市标准等方面可能与境内上市公司存在差异。红筹企业的股权结构、公司治理、运行规范等事项适用境外注册地公司法等法律法规的，其投资者权益保护水平总体上应不低于境内 法律法规等要求，但可能与境内法律法规等要求为境内投资者权益提供的保护存在差异。 </w:t>
      </w:r>
    </w:p>
    <w:p>
      <w:pPr>
        <w:pStyle w:val="2"/>
        <w:spacing w:line="560" w:lineRule="exact"/>
        <w:rPr>
          <w:rFonts w:hint="eastAsia" w:ascii="仿宋" w:hAnsi="仿宋" w:eastAsia="仿宋" w:cs="仿宋"/>
          <w:sz w:val="24"/>
          <w:szCs w:val="24"/>
        </w:rPr>
      </w:pPr>
      <w:r>
        <w:rPr>
          <w:rFonts w:hint="eastAsia" w:ascii="仿宋" w:hAnsi="仿宋" w:eastAsia="仿宋" w:cs="仿宋"/>
          <w:sz w:val="24"/>
          <w:szCs w:val="24"/>
        </w:rPr>
        <w:t>十八、红筹企业可以发行股票或者存托凭证并在主板上市。存托凭证由存托人签发、以境外证券为基础在中国境内发行,代表境外基础证券权益。红筹企业存托凭证持有人实际享有的权益与 境外基础证券持有人的权益虽然基本相当,但并不能等同于直接持有境外基础证券。投资者应当充分知悉存托协议和相关规则内容，关注交易和持有过程中可能存在的风险。</w:t>
      </w:r>
    </w:p>
    <w:p>
      <w:pPr>
        <w:pStyle w:val="2"/>
        <w:spacing w:line="560" w:lineRule="exact"/>
      </w:pPr>
      <w:r>
        <w:rPr>
          <w:rFonts w:hint="eastAsia" w:ascii="仿宋" w:hAnsi="仿宋" w:eastAsia="仿宋" w:cs="仿宋"/>
          <w:sz w:val="24"/>
          <w:szCs w:val="24"/>
        </w:rPr>
        <w:t>十九、主板适用的相关法律、行政法规、部门规章、规范性文件（以下统称法律法规）和深交所业务规则，可能根据市场情况进行修改，或者制定新的法律法规和业务规则，投资者应当及时关注和了解。</w:t>
      </w:r>
      <w:r>
        <w:rPr>
          <w:rFonts w:hint="eastAsia" w:ascii="仿宋" w:hAnsi="仿宋" w:eastAsia="仿宋" w:cs="仿宋"/>
          <w:sz w:val="28"/>
          <w:szCs w:val="28"/>
        </w:rPr>
        <w:t xml:space="preserve"> </w:t>
      </w:r>
    </w:p>
    <w:p>
      <w:pPr>
        <w:widowControl/>
        <w:spacing w:line="360" w:lineRule="auto"/>
        <w:ind w:firstLine="480" w:firstLineChars="200"/>
        <w:jc w:val="left"/>
        <w:rPr>
          <w:rFonts w:ascii="仿宋" w:hAnsi="仿宋" w:eastAsia="仿宋"/>
          <w:sz w:val="24"/>
        </w:rPr>
      </w:pPr>
      <w:r>
        <w:rPr>
          <w:rFonts w:hint="eastAsia" w:ascii="仿宋" w:hAnsi="仿宋" w:eastAsia="仿宋"/>
          <w:sz w:val="24"/>
        </w:rPr>
        <w:t>中银国际证券股份有限公司郑重提醒：</w:t>
      </w:r>
    </w:p>
    <w:p>
      <w:pPr>
        <w:widowControl/>
        <w:spacing w:line="360" w:lineRule="auto"/>
        <w:ind w:firstLine="482" w:firstLineChars="200"/>
        <w:rPr>
          <w:rFonts w:ascii="仿宋" w:hAnsi="仿宋" w:eastAsia="仿宋" w:cs="Arial"/>
          <w:bCs/>
          <w:kern w:val="0"/>
          <w:sz w:val="24"/>
        </w:rPr>
      </w:pPr>
      <w:r>
        <w:rPr>
          <w:rFonts w:hint="eastAsia" w:ascii="仿宋" w:hAnsi="仿宋" w:eastAsia="仿宋" w:cs="Arial"/>
          <w:b/>
          <w:color w:val="000000"/>
          <w:kern w:val="0"/>
          <w:sz w:val="24"/>
        </w:rPr>
        <w:t>本《风险揭示书》的揭示事项仅为列举性质，未能详尽列明主板股票</w:t>
      </w:r>
      <w:r>
        <w:rPr>
          <w:rFonts w:hint="eastAsia" w:ascii="仿宋" w:hAnsi="仿宋" w:eastAsia="仿宋" w:cs="Arial"/>
          <w:b/>
          <w:color w:val="000000"/>
          <w:kern w:val="0"/>
          <w:sz w:val="24"/>
          <w:lang w:val="en-US" w:eastAsia="zh-CN"/>
        </w:rPr>
        <w:t>投资</w:t>
      </w:r>
      <w:r>
        <w:rPr>
          <w:rFonts w:hint="eastAsia" w:ascii="仿宋" w:hAnsi="仿宋" w:eastAsia="仿宋" w:cs="Arial"/>
          <w:b/>
          <w:color w:val="000000"/>
          <w:kern w:val="0"/>
          <w:sz w:val="24"/>
        </w:rPr>
        <w:t>的所有风险，且未来有关法律法规和业务规则修订时可能不会要求投资者重新签署《风险揭示书》，投资者在参与</w:t>
      </w:r>
      <w:r>
        <w:rPr>
          <w:rFonts w:hint="eastAsia" w:ascii="仿宋" w:hAnsi="仿宋" w:eastAsia="仿宋" w:cs="Arial"/>
          <w:b/>
          <w:color w:val="000000"/>
          <w:kern w:val="0"/>
          <w:sz w:val="24"/>
          <w:lang w:val="en-US" w:eastAsia="zh-CN"/>
        </w:rPr>
        <w:t>投资</w:t>
      </w:r>
      <w:r>
        <w:rPr>
          <w:rFonts w:hint="eastAsia" w:ascii="仿宋" w:hAnsi="仿宋" w:eastAsia="仿宋" w:cs="Arial"/>
          <w:b/>
          <w:color w:val="000000"/>
          <w:kern w:val="0"/>
          <w:sz w:val="24"/>
        </w:rPr>
        <w:t>前，应当认真阅读有关法律法规和交易所业务规则等相关规定，对其他可能存在的风险因素也应当有所了解和掌握，并确信自己已做好足够的风险评估与财务安排，避免因参与主板股票</w:t>
      </w:r>
      <w:r>
        <w:rPr>
          <w:rFonts w:hint="eastAsia" w:ascii="仿宋" w:hAnsi="仿宋" w:eastAsia="仿宋" w:cs="Arial"/>
          <w:b/>
          <w:color w:val="000000"/>
          <w:kern w:val="0"/>
          <w:sz w:val="24"/>
          <w:lang w:val="en-US" w:eastAsia="zh-CN"/>
        </w:rPr>
        <w:t>投资</w:t>
      </w:r>
      <w:r>
        <w:rPr>
          <w:rFonts w:hint="eastAsia" w:ascii="仿宋" w:hAnsi="仿宋" w:eastAsia="仿宋" w:cs="Arial"/>
          <w:b/>
          <w:color w:val="000000"/>
          <w:kern w:val="0"/>
          <w:sz w:val="24"/>
        </w:rPr>
        <w:t>遭受难以承受的损失。</w:t>
      </w:r>
    </w:p>
    <w:p>
      <w:pPr>
        <w:spacing w:line="360" w:lineRule="auto"/>
        <w:ind w:firstLine="480" w:firstLineChars="200"/>
        <w:rPr>
          <w:rFonts w:ascii="仿宋" w:hAnsi="仿宋" w:eastAsia="仿宋" w:cs="Arial"/>
          <w:bCs/>
          <w:kern w:val="0"/>
          <w:sz w:val="24"/>
        </w:rPr>
      </w:pPr>
      <w:r>
        <w:rPr>
          <w:rFonts w:hint="eastAsia" w:ascii="仿宋" w:hAnsi="仿宋" w:eastAsia="仿宋" w:cs="Arial"/>
          <w:bCs/>
          <w:kern w:val="0"/>
          <w:sz w:val="24"/>
        </w:rPr>
        <w:t>本人/机构确认已知晓并理解本《风险揭示书》的全部内容，已理解并愿意自行承担参与主板股票</w:t>
      </w:r>
      <w:r>
        <w:rPr>
          <w:rFonts w:hint="eastAsia" w:ascii="仿宋" w:hAnsi="仿宋" w:eastAsia="仿宋" w:cs="Arial"/>
          <w:bCs/>
          <w:kern w:val="0"/>
          <w:sz w:val="24"/>
          <w:lang w:val="en-US" w:eastAsia="zh-CN"/>
        </w:rPr>
        <w:t>投资</w:t>
      </w:r>
      <w:r>
        <w:rPr>
          <w:rFonts w:hint="eastAsia" w:ascii="仿宋" w:hAnsi="仿宋" w:eastAsia="仿宋" w:cs="Arial"/>
          <w:bCs/>
          <w:kern w:val="0"/>
          <w:sz w:val="24"/>
        </w:rPr>
        <w:t>的风险和损失。</w:t>
      </w:r>
    </w:p>
    <w:p>
      <w:pPr>
        <w:tabs>
          <w:tab w:val="left" w:pos="4500"/>
        </w:tabs>
        <w:spacing w:line="360" w:lineRule="auto"/>
        <w:ind w:firstLine="482" w:firstLineChars="200"/>
        <w:rPr>
          <w:rFonts w:ascii="仿宋" w:hAnsi="仿宋" w:eastAsia="仿宋" w:cs="华文中宋"/>
          <w:b/>
          <w:bCs/>
          <w:kern w:val="0"/>
          <w:sz w:val="24"/>
        </w:rPr>
      </w:pPr>
      <w:r>
        <w:rPr>
          <w:rFonts w:hint="eastAsia" w:ascii="仿宋" w:hAnsi="仿宋" w:eastAsia="仿宋"/>
          <w:b/>
          <w:sz w:val="24"/>
        </w:rPr>
        <w:t>本投资者确认已详细阅读并完全理解了上述的各项内容，在签署页签署视同签署认可。</w:t>
      </w:r>
    </w:p>
    <w:p>
      <w:pPr>
        <w:pStyle w:val="2"/>
        <w:ind w:firstLine="0"/>
      </w:pPr>
    </w:p>
    <w:p>
      <w:pPr>
        <w:pStyle w:val="19"/>
        <w:numPr>
          <w:ilvl w:val="0"/>
          <w:numId w:val="1"/>
        </w:numPr>
        <w:rPr>
          <w:rFonts w:ascii="仿宋" w:hAnsi="仿宋" w:eastAsia="仿宋"/>
        </w:rPr>
      </w:pPr>
      <w:bookmarkStart w:id="107" w:name="_Toc32578"/>
      <w:bookmarkStart w:id="108" w:name="_Toc9023"/>
      <w:bookmarkStart w:id="109" w:name="_Toc28932"/>
      <w:bookmarkStart w:id="110" w:name="_Toc23036"/>
      <w:bookmarkStart w:id="111" w:name="_Toc11638"/>
      <w:bookmarkStart w:id="112" w:name="_Toc30577"/>
      <w:bookmarkStart w:id="113" w:name="_Toc9137"/>
      <w:bookmarkStart w:id="114" w:name="_Toc2550"/>
      <w:r>
        <w:rPr>
          <w:rFonts w:hint="eastAsia" w:ascii="仿宋" w:hAnsi="仿宋" w:eastAsia="仿宋"/>
        </w:rPr>
        <w:t>中银证券服务和产品消费告知书</w:t>
      </w:r>
      <w:bookmarkEnd w:id="90"/>
      <w:bookmarkEnd w:id="91"/>
      <w:bookmarkEnd w:id="92"/>
      <w:bookmarkEnd w:id="107"/>
      <w:bookmarkEnd w:id="108"/>
      <w:bookmarkEnd w:id="109"/>
      <w:bookmarkEnd w:id="110"/>
      <w:bookmarkEnd w:id="111"/>
      <w:bookmarkEnd w:id="112"/>
      <w:bookmarkEnd w:id="113"/>
      <w:bookmarkEnd w:id="114"/>
    </w:p>
    <w:p>
      <w:pPr>
        <w:spacing w:line="360" w:lineRule="auto"/>
        <w:rPr>
          <w:rFonts w:ascii="仿宋" w:hAnsi="仿宋" w:eastAsia="仿宋"/>
        </w:rPr>
      </w:pPr>
    </w:p>
    <w:p>
      <w:pPr>
        <w:widowControl/>
        <w:spacing w:line="360" w:lineRule="auto"/>
        <w:jc w:val="left"/>
        <w:rPr>
          <w:rFonts w:ascii="仿宋" w:hAnsi="仿宋" w:eastAsia="仿宋"/>
          <w:sz w:val="24"/>
        </w:rPr>
      </w:pPr>
      <w:r>
        <w:rPr>
          <w:rFonts w:hint="eastAsia" w:ascii="仿宋" w:hAnsi="仿宋" w:eastAsia="仿宋"/>
          <w:sz w:val="24"/>
        </w:rPr>
        <w:t>尊敬的投资者：</w:t>
      </w:r>
    </w:p>
    <w:p>
      <w:pPr>
        <w:widowControl/>
        <w:spacing w:line="360" w:lineRule="auto"/>
        <w:ind w:firstLine="480" w:firstLineChars="200"/>
        <w:jc w:val="left"/>
        <w:rPr>
          <w:rFonts w:ascii="仿宋" w:hAnsi="仿宋" w:eastAsia="仿宋"/>
          <w:sz w:val="24"/>
        </w:rPr>
      </w:pPr>
      <w:r>
        <w:rPr>
          <w:rFonts w:hint="eastAsia" w:ascii="仿宋" w:hAnsi="仿宋" w:eastAsia="仿宋"/>
          <w:sz w:val="24"/>
        </w:rPr>
        <w:t>为了使您保护自身合法权益和更好地使用本公司的服务与产品，在您使用服务与产品之前，根据有关交易法律法规、行政规章、证券交易所业务规则、证券登记结算机构业务规则和协议，本公司特告知您服务与产品相关风险和约定：</w:t>
      </w:r>
    </w:p>
    <w:p>
      <w:pPr>
        <w:pStyle w:val="34"/>
        <w:widowControl/>
        <w:numPr>
          <w:ilvl w:val="0"/>
          <w:numId w:val="3"/>
        </w:numPr>
        <w:spacing w:line="360" w:lineRule="auto"/>
        <w:ind w:firstLine="480"/>
        <w:jc w:val="left"/>
        <w:rPr>
          <w:rFonts w:ascii="仿宋" w:hAnsi="仿宋" w:eastAsia="仿宋"/>
          <w:sz w:val="24"/>
          <w:szCs w:val="24"/>
        </w:rPr>
      </w:pPr>
      <w:r>
        <w:rPr>
          <w:rFonts w:hint="eastAsia" w:ascii="仿宋" w:hAnsi="仿宋" w:eastAsia="仿宋"/>
          <w:sz w:val="24"/>
          <w:szCs w:val="24"/>
        </w:rPr>
        <w:t>投资者需要自主作出投资决策并独立承担投资风险。</w:t>
      </w:r>
    </w:p>
    <w:p>
      <w:pPr>
        <w:pStyle w:val="34"/>
        <w:widowControl/>
        <w:numPr>
          <w:ilvl w:val="0"/>
          <w:numId w:val="3"/>
        </w:numPr>
        <w:spacing w:line="360" w:lineRule="auto"/>
        <w:ind w:firstLine="480"/>
        <w:jc w:val="left"/>
        <w:rPr>
          <w:rFonts w:ascii="仿宋" w:hAnsi="仿宋" w:eastAsia="仿宋"/>
          <w:sz w:val="24"/>
          <w:szCs w:val="24"/>
        </w:rPr>
      </w:pPr>
      <w:r>
        <w:rPr>
          <w:rFonts w:hint="eastAsia" w:ascii="仿宋" w:hAnsi="仿宋" w:eastAsia="仿宋"/>
          <w:sz w:val="24"/>
          <w:szCs w:val="24"/>
        </w:rPr>
        <w:t>本公司及其人员提供的服务与产品并不能确保投资者盈利。</w:t>
      </w:r>
    </w:p>
    <w:p>
      <w:pPr>
        <w:pStyle w:val="34"/>
        <w:widowControl/>
        <w:numPr>
          <w:ilvl w:val="0"/>
          <w:numId w:val="3"/>
        </w:numPr>
        <w:spacing w:line="360" w:lineRule="auto"/>
        <w:ind w:firstLine="480"/>
        <w:jc w:val="left"/>
        <w:rPr>
          <w:rFonts w:ascii="仿宋" w:hAnsi="仿宋" w:eastAsia="仿宋"/>
          <w:sz w:val="24"/>
          <w:szCs w:val="24"/>
        </w:rPr>
      </w:pPr>
      <w:r>
        <w:rPr>
          <w:rFonts w:hint="eastAsia" w:ascii="仿宋" w:hAnsi="仿宋" w:eastAsia="仿宋"/>
          <w:sz w:val="24"/>
          <w:szCs w:val="24"/>
        </w:rPr>
        <w:t>投资者在使用服务与产品前，必须了解本公司及其人员是否具有相应的业务资质，特别是投资建议类服务，相应人员是否具有证券投资咨询资格。</w:t>
      </w:r>
    </w:p>
    <w:p>
      <w:pPr>
        <w:pStyle w:val="34"/>
        <w:widowControl/>
        <w:numPr>
          <w:ilvl w:val="0"/>
          <w:numId w:val="3"/>
        </w:numPr>
        <w:spacing w:line="360" w:lineRule="auto"/>
        <w:ind w:firstLine="480"/>
        <w:jc w:val="left"/>
        <w:rPr>
          <w:rFonts w:ascii="仿宋" w:hAnsi="仿宋" w:eastAsia="仿宋"/>
          <w:sz w:val="24"/>
          <w:szCs w:val="24"/>
        </w:rPr>
      </w:pPr>
      <w:r>
        <w:rPr>
          <w:rFonts w:hint="eastAsia" w:ascii="仿宋" w:hAnsi="仿宋" w:eastAsia="仿宋"/>
          <w:sz w:val="24"/>
          <w:szCs w:val="24"/>
        </w:rPr>
        <w:t>本公司服务与产品具有多样性和针对性，请投资者在选择具体产品时务必注意与自身资产与收入状况、投资经验、投资需求和风险偏好相匹配。</w:t>
      </w:r>
    </w:p>
    <w:p>
      <w:pPr>
        <w:pStyle w:val="34"/>
        <w:widowControl/>
        <w:numPr>
          <w:ilvl w:val="0"/>
          <w:numId w:val="3"/>
        </w:numPr>
        <w:spacing w:line="360" w:lineRule="auto"/>
        <w:ind w:firstLine="480"/>
        <w:jc w:val="left"/>
        <w:rPr>
          <w:rFonts w:ascii="仿宋" w:hAnsi="仿宋" w:eastAsia="仿宋"/>
          <w:sz w:val="24"/>
          <w:szCs w:val="24"/>
        </w:rPr>
      </w:pPr>
      <w:r>
        <w:rPr>
          <w:rFonts w:hint="eastAsia" w:ascii="仿宋" w:hAnsi="仿宋" w:eastAsia="仿宋"/>
          <w:sz w:val="24"/>
          <w:szCs w:val="24"/>
        </w:rPr>
        <w:t>由于法律法规的修订、监管政策的变化、自然灾害等不可抗力、外部服务提供商停止提供服务以及本公司经营策略的调整等原因，本公司服务与产品可能被取消。</w:t>
      </w:r>
    </w:p>
    <w:p>
      <w:pPr>
        <w:pStyle w:val="34"/>
        <w:widowControl/>
        <w:numPr>
          <w:ilvl w:val="0"/>
          <w:numId w:val="3"/>
        </w:numPr>
        <w:spacing w:line="360" w:lineRule="auto"/>
        <w:ind w:firstLine="480"/>
        <w:jc w:val="left"/>
        <w:rPr>
          <w:rFonts w:ascii="仿宋" w:hAnsi="仿宋" w:eastAsia="仿宋"/>
          <w:sz w:val="24"/>
          <w:szCs w:val="24"/>
        </w:rPr>
      </w:pPr>
      <w:r>
        <w:rPr>
          <w:rFonts w:hint="eastAsia" w:ascii="仿宋" w:hAnsi="仿宋" w:eastAsia="仿宋"/>
          <w:sz w:val="24"/>
          <w:szCs w:val="24"/>
        </w:rPr>
        <w:t>本公司服务与产品中所包含的各类信息，包括证券投资建议，公开市场信息及证券研究报告和投资分析意见等，可能存在被误读的风险，其中由第三方提供的信息可能存在不准确、不完整、不真实的情况，本公司收到第三方提供的更正信息将及时发布。本公司不承担除未更正错误信息以外的任何责任。</w:t>
      </w:r>
    </w:p>
    <w:p>
      <w:pPr>
        <w:pStyle w:val="34"/>
        <w:widowControl/>
        <w:numPr>
          <w:ilvl w:val="0"/>
          <w:numId w:val="3"/>
        </w:numPr>
        <w:spacing w:line="360" w:lineRule="auto"/>
        <w:ind w:firstLine="480"/>
        <w:jc w:val="left"/>
        <w:rPr>
          <w:rFonts w:ascii="仿宋" w:hAnsi="仿宋" w:eastAsia="仿宋"/>
          <w:sz w:val="24"/>
          <w:szCs w:val="24"/>
        </w:rPr>
      </w:pPr>
      <w:r>
        <w:rPr>
          <w:rFonts w:hint="eastAsia" w:ascii="仿宋" w:hAnsi="仿宋" w:eastAsia="仿宋"/>
          <w:sz w:val="24"/>
          <w:szCs w:val="24"/>
        </w:rPr>
        <w:t>本公司及其人员可能存在道德风险，如果投资者发现本公司及其人员在提供服务与产品过程中存在违法违规行为，请您及时向本公司投诉或向有关部门举报。</w:t>
      </w:r>
    </w:p>
    <w:p>
      <w:pPr>
        <w:pStyle w:val="34"/>
        <w:widowControl/>
        <w:numPr>
          <w:ilvl w:val="0"/>
          <w:numId w:val="3"/>
        </w:numPr>
        <w:spacing w:line="360" w:lineRule="auto"/>
        <w:ind w:firstLine="480"/>
        <w:jc w:val="left"/>
        <w:rPr>
          <w:rFonts w:ascii="仿宋" w:hAnsi="仿宋" w:eastAsia="仿宋"/>
          <w:sz w:val="24"/>
          <w:szCs w:val="24"/>
        </w:rPr>
      </w:pPr>
      <w:r>
        <w:rPr>
          <w:rFonts w:hint="eastAsia" w:ascii="仿宋" w:hAnsi="仿宋" w:eastAsia="仿宋"/>
          <w:sz w:val="24"/>
          <w:szCs w:val="24"/>
        </w:rPr>
        <w:t>本公司为投资者提供具体服务的人员，存在因离职、离岗等原因导致更换人员的风险。</w:t>
      </w:r>
    </w:p>
    <w:p>
      <w:pPr>
        <w:pStyle w:val="34"/>
        <w:widowControl/>
        <w:numPr>
          <w:ilvl w:val="0"/>
          <w:numId w:val="3"/>
        </w:numPr>
        <w:spacing w:line="360" w:lineRule="auto"/>
        <w:ind w:firstLine="480"/>
        <w:jc w:val="left"/>
        <w:rPr>
          <w:rFonts w:ascii="仿宋" w:hAnsi="仿宋" w:eastAsia="仿宋"/>
          <w:sz w:val="24"/>
          <w:szCs w:val="24"/>
        </w:rPr>
      </w:pPr>
      <w:r>
        <w:rPr>
          <w:rFonts w:hint="eastAsia" w:ascii="仿宋" w:hAnsi="仿宋" w:eastAsia="仿宋"/>
          <w:sz w:val="24"/>
          <w:szCs w:val="24"/>
        </w:rPr>
        <w:t>本公司在以软件工具、终端设备等为载体提供服务时，由于上述载体在技术方面的固有缺陷，可能存在软件工具、终端设备等无法启动或正常、及时显示的风险。</w:t>
      </w:r>
    </w:p>
    <w:p>
      <w:pPr>
        <w:pStyle w:val="34"/>
        <w:widowControl/>
        <w:numPr>
          <w:ilvl w:val="0"/>
          <w:numId w:val="3"/>
        </w:numPr>
        <w:spacing w:line="360" w:lineRule="auto"/>
        <w:ind w:firstLine="480"/>
        <w:jc w:val="left"/>
        <w:rPr>
          <w:rFonts w:ascii="仿宋" w:hAnsi="仿宋" w:eastAsia="仿宋"/>
          <w:sz w:val="24"/>
          <w:szCs w:val="24"/>
        </w:rPr>
      </w:pPr>
      <w:r>
        <w:rPr>
          <w:rFonts w:hint="eastAsia" w:ascii="仿宋" w:hAnsi="仿宋" w:eastAsia="仿宋"/>
          <w:sz w:val="24"/>
          <w:szCs w:val="24"/>
        </w:rPr>
        <w:t>投资者声明不会授权本公司任何工作人员（包括证券经纪人员）个人全权交易委托，不相信任何违规</w:t>
      </w:r>
      <w:r>
        <w:rPr>
          <w:rFonts w:ascii="仿宋" w:hAnsi="仿宋" w:eastAsia="仿宋"/>
          <w:sz w:val="24"/>
          <w:szCs w:val="24"/>
        </w:rPr>
        <w:t>盈利保证、收益分成、保本保底承诺，</w:t>
      </w:r>
      <w:r>
        <w:rPr>
          <w:rFonts w:hint="eastAsia" w:ascii="仿宋" w:hAnsi="仿宋" w:eastAsia="仿宋"/>
          <w:sz w:val="24"/>
          <w:szCs w:val="24"/>
        </w:rPr>
        <w:t>不会通过</w:t>
      </w:r>
      <w:r>
        <w:rPr>
          <w:rFonts w:ascii="仿宋" w:hAnsi="仿宋" w:eastAsia="仿宋"/>
          <w:sz w:val="24"/>
          <w:szCs w:val="24"/>
        </w:rPr>
        <w:t>口头约定或签订协议</w:t>
      </w:r>
      <w:r>
        <w:rPr>
          <w:rFonts w:hint="eastAsia" w:ascii="仿宋" w:hAnsi="仿宋" w:eastAsia="仿宋"/>
          <w:sz w:val="24"/>
          <w:szCs w:val="24"/>
        </w:rPr>
        <w:t>与本公司任何工作人员</w:t>
      </w:r>
      <w:r>
        <w:rPr>
          <w:rFonts w:ascii="仿宋" w:hAnsi="仿宋" w:eastAsia="仿宋"/>
          <w:sz w:val="24"/>
          <w:szCs w:val="24"/>
        </w:rPr>
        <w:t>分享</w:t>
      </w:r>
      <w:r>
        <w:rPr>
          <w:rFonts w:hint="eastAsia" w:ascii="仿宋" w:hAnsi="仿宋" w:eastAsia="仿宋"/>
          <w:sz w:val="24"/>
          <w:szCs w:val="24"/>
        </w:rPr>
        <w:t>您</w:t>
      </w:r>
      <w:r>
        <w:rPr>
          <w:rFonts w:ascii="仿宋" w:hAnsi="仿宋" w:eastAsia="仿宋"/>
          <w:sz w:val="24"/>
          <w:szCs w:val="24"/>
        </w:rPr>
        <w:t>的投资收益或承担</w:t>
      </w:r>
      <w:r>
        <w:rPr>
          <w:rFonts w:hint="eastAsia" w:ascii="仿宋" w:hAnsi="仿宋" w:eastAsia="仿宋"/>
          <w:sz w:val="24"/>
          <w:szCs w:val="24"/>
        </w:rPr>
        <w:t>您</w:t>
      </w:r>
      <w:r>
        <w:rPr>
          <w:rFonts w:ascii="仿宋" w:hAnsi="仿宋" w:eastAsia="仿宋"/>
          <w:sz w:val="24"/>
          <w:szCs w:val="24"/>
        </w:rPr>
        <w:t>的投资损失。</w:t>
      </w:r>
      <w:r>
        <w:rPr>
          <w:rFonts w:hint="eastAsia" w:ascii="仿宋" w:hAnsi="仿宋" w:eastAsia="仿宋"/>
          <w:sz w:val="24"/>
          <w:szCs w:val="24"/>
        </w:rPr>
        <w:t>否则，将自行承担损失。</w:t>
      </w:r>
    </w:p>
    <w:p>
      <w:pPr>
        <w:pStyle w:val="34"/>
        <w:widowControl/>
        <w:numPr>
          <w:ilvl w:val="0"/>
          <w:numId w:val="3"/>
        </w:numPr>
        <w:spacing w:line="360" w:lineRule="auto"/>
        <w:ind w:firstLine="480"/>
        <w:jc w:val="left"/>
        <w:rPr>
          <w:rFonts w:ascii="仿宋" w:hAnsi="仿宋" w:eastAsia="仿宋"/>
          <w:sz w:val="24"/>
          <w:szCs w:val="24"/>
        </w:rPr>
      </w:pPr>
      <w:r>
        <w:rPr>
          <w:rFonts w:hint="eastAsia" w:ascii="仿宋" w:hAnsi="仿宋" w:eastAsia="仿宋"/>
          <w:sz w:val="24"/>
          <w:szCs w:val="24"/>
        </w:rPr>
        <w:t>投资者应详细了解本公司相关服务与产品的收费标准和方式。您不得向本公司证券投资顾问人员、证券营销服务人员、产品销售人员或其他工作人员个人账户支付服务费用，或向本公司非指定合法账户支付购买产品资金。</w:t>
      </w:r>
    </w:p>
    <w:p>
      <w:pPr>
        <w:pStyle w:val="34"/>
        <w:widowControl/>
        <w:numPr>
          <w:ilvl w:val="0"/>
          <w:numId w:val="3"/>
        </w:numPr>
        <w:spacing w:line="360" w:lineRule="auto"/>
        <w:ind w:firstLine="480"/>
        <w:jc w:val="left"/>
        <w:rPr>
          <w:rFonts w:ascii="仿宋" w:hAnsi="仿宋" w:eastAsia="仿宋"/>
          <w:sz w:val="24"/>
          <w:szCs w:val="24"/>
        </w:rPr>
      </w:pPr>
      <w:r>
        <w:rPr>
          <w:rFonts w:hint="eastAsia" w:ascii="仿宋" w:hAnsi="仿宋" w:eastAsia="仿宋"/>
          <w:sz w:val="24"/>
          <w:szCs w:val="24"/>
        </w:rPr>
        <w:t>投资者应保管好自己的证券账户、资金账户和相应的密码。不要委托任何人包括本公司的任何人员全权管理您的证券账户、资金账户、代理买卖证券等，否则由此导致的风险将全部由您自行承担。</w:t>
      </w:r>
    </w:p>
    <w:p>
      <w:pPr>
        <w:pStyle w:val="34"/>
        <w:widowControl/>
        <w:numPr>
          <w:ilvl w:val="0"/>
          <w:numId w:val="3"/>
        </w:numPr>
        <w:spacing w:line="360" w:lineRule="auto"/>
        <w:ind w:firstLine="480"/>
        <w:jc w:val="left"/>
        <w:rPr>
          <w:rFonts w:ascii="仿宋" w:hAnsi="仿宋" w:eastAsia="仿宋"/>
          <w:sz w:val="24"/>
          <w:szCs w:val="24"/>
        </w:rPr>
      </w:pPr>
      <w:r>
        <w:rPr>
          <w:rFonts w:hint="eastAsia" w:ascii="仿宋" w:hAnsi="仿宋" w:eastAsia="仿宋"/>
          <w:sz w:val="24"/>
          <w:szCs w:val="24"/>
        </w:rPr>
        <w:t>投资者应通过指定的渠道获取服务。其他渠道无论是否由本公司所属员工提供，均非本公司的指定信息提供渠道，本公司对该类信息不承担任何法定或约定的义务和责任。</w:t>
      </w:r>
    </w:p>
    <w:p>
      <w:pPr>
        <w:widowControl/>
        <w:spacing w:line="360" w:lineRule="auto"/>
        <w:ind w:firstLine="480" w:firstLineChars="200"/>
        <w:jc w:val="left"/>
        <w:rPr>
          <w:rFonts w:ascii="仿宋" w:hAnsi="仿宋" w:eastAsia="仿宋"/>
          <w:sz w:val="24"/>
        </w:rPr>
      </w:pPr>
      <w:r>
        <w:rPr>
          <w:rFonts w:hint="eastAsia" w:ascii="仿宋" w:hAnsi="仿宋" w:eastAsia="仿宋"/>
          <w:sz w:val="24"/>
        </w:rPr>
        <w:t>按照证券监管部门金融产品销售相关规定，本公司严禁任何内部机构和员工以任何形式推荐、介绍或销售未经公司审批且统一组织销售的金融产品。本公司统一组织并经我部销售的金融产品可通过本公司官网（http://www.bocichina.com）查询或本公司官方客服电话（</w:t>
      </w:r>
      <w:r>
        <w:rPr>
          <w:rFonts w:hint="eastAsia" w:ascii="仿宋" w:hAnsi="仿宋" w:eastAsia="仿宋"/>
          <w:sz w:val="24"/>
          <w:lang w:val="en-US" w:eastAsia="zh-CN"/>
        </w:rPr>
        <w:t>956026、</w:t>
      </w:r>
      <w:r>
        <w:rPr>
          <w:rFonts w:hint="eastAsia" w:ascii="仿宋" w:hAnsi="仿宋" w:eastAsia="仿宋"/>
          <w:sz w:val="24"/>
        </w:rPr>
        <w:t>400</w:t>
      </w:r>
      <w:r>
        <w:rPr>
          <w:rFonts w:hint="eastAsia" w:ascii="仿宋" w:hAnsi="仿宋" w:eastAsia="仿宋"/>
          <w:sz w:val="24"/>
          <w:lang w:val="en-US" w:eastAsia="zh-CN"/>
        </w:rPr>
        <w:t>-</w:t>
      </w:r>
      <w:r>
        <w:rPr>
          <w:rFonts w:hint="eastAsia" w:ascii="仿宋" w:hAnsi="仿宋" w:eastAsia="仿宋"/>
          <w:sz w:val="24"/>
        </w:rPr>
        <w:t>620</w:t>
      </w:r>
      <w:r>
        <w:rPr>
          <w:rFonts w:hint="eastAsia" w:ascii="仿宋" w:hAnsi="仿宋" w:eastAsia="仿宋"/>
          <w:sz w:val="24"/>
          <w:lang w:val="en-US" w:eastAsia="zh-CN"/>
        </w:rPr>
        <w:t>-</w:t>
      </w:r>
      <w:r>
        <w:rPr>
          <w:rFonts w:hint="eastAsia" w:ascii="仿宋" w:hAnsi="仿宋" w:eastAsia="仿宋"/>
          <w:sz w:val="24"/>
        </w:rPr>
        <w:t>8888）咨询确认在销产品信息。除公告产品以外的其他任何金融产品均不属于本公司销售的产品。若出现本公司员工向您推荐、介绍或销售前述公告产品以外的其他产品情况的，请您一定不要购买，并将相关情况告知本公司或分支机构查处。</w:t>
      </w:r>
    </w:p>
    <w:p>
      <w:pPr>
        <w:pStyle w:val="34"/>
        <w:widowControl/>
        <w:numPr>
          <w:ilvl w:val="0"/>
          <w:numId w:val="3"/>
        </w:numPr>
        <w:spacing w:line="360" w:lineRule="auto"/>
        <w:ind w:firstLine="480"/>
        <w:jc w:val="left"/>
        <w:rPr>
          <w:rFonts w:ascii="仿宋" w:hAnsi="仿宋" w:eastAsia="仿宋"/>
          <w:sz w:val="24"/>
          <w:szCs w:val="24"/>
        </w:rPr>
      </w:pPr>
      <w:r>
        <w:rPr>
          <w:rFonts w:hint="eastAsia" w:ascii="仿宋" w:hAnsi="仿宋" w:eastAsia="仿宋"/>
          <w:sz w:val="24"/>
          <w:szCs w:val="24"/>
        </w:rPr>
        <w:t>为方便您办理业务，本公司对部分业务和服务采取电子签名的方式开通和办理，即投资者通过身份验证登陆本公司指定的网络系统，确认同意接受相关电子合同或文书的，视为签署合同，与在纸质合同上手写签名或者签章具有同等的法律效力，无须另行签署纸质合同或文书。特别提醒投资者应增强密码强度并妥善保管密码，凡凭投资者密码登陆账户后的所有操作均视同投资者本人行为，投资者须承担由此产生的一切后果。若发现自身账户出现异常，应及时告知本公司或分支机构调查处理。</w:t>
      </w:r>
    </w:p>
    <w:p>
      <w:pPr>
        <w:pStyle w:val="34"/>
        <w:widowControl/>
        <w:numPr>
          <w:ilvl w:val="0"/>
          <w:numId w:val="3"/>
        </w:numPr>
        <w:spacing w:line="360" w:lineRule="auto"/>
        <w:ind w:firstLine="480"/>
        <w:jc w:val="left"/>
        <w:rPr>
          <w:rFonts w:ascii="仿宋" w:hAnsi="仿宋" w:eastAsia="仿宋"/>
          <w:sz w:val="24"/>
          <w:szCs w:val="24"/>
        </w:rPr>
      </w:pPr>
      <w:r>
        <w:rPr>
          <w:rFonts w:hint="eastAsia" w:ascii="仿宋" w:hAnsi="仿宋" w:eastAsia="仿宋"/>
          <w:sz w:val="24"/>
          <w:szCs w:val="24"/>
        </w:rPr>
        <w:t>关于交易所非交易时间的委托和撤单事项。</w:t>
      </w:r>
    </w:p>
    <w:p>
      <w:pPr>
        <w:autoSpaceDE w:val="0"/>
        <w:autoSpaceDN w:val="0"/>
        <w:adjustRightInd w:val="0"/>
        <w:spacing w:line="360" w:lineRule="auto"/>
        <w:ind w:firstLine="480" w:firstLineChars="200"/>
        <w:rPr>
          <w:rFonts w:ascii="仿宋" w:hAnsi="仿宋" w:eastAsia="仿宋" w:cs="宋体"/>
          <w:color w:val="000000"/>
          <w:kern w:val="0"/>
          <w:sz w:val="24"/>
        </w:rPr>
      </w:pPr>
      <w:r>
        <w:rPr>
          <w:rFonts w:hint="eastAsia" w:ascii="仿宋" w:hAnsi="仿宋" w:eastAsia="仿宋" w:cs="宋体"/>
          <w:color w:val="000000"/>
          <w:kern w:val="0"/>
          <w:sz w:val="24"/>
        </w:rPr>
        <w:t>各证券交易所只在其规定的交易时间内接受证券公司为投资者发送的委托申报，非交易时间不接受申报指令。为提升服务质量，满足不同客户的需求，本公司与绝大多数证券公司一样，在非交易的一定时间段内针对部分业务开放委托下单功能。但是交易所和证券监管部门对非交易时间的委托（包括撤单）尚无明确的规定和标准，不同证券交易系统软件开发商设计的思路和提供的软件功能存在差异，不同证券公司对非交易时间的委托和撤单处理方式可能不同，结果可能有一定差异。</w:t>
      </w:r>
    </w:p>
    <w:p>
      <w:pPr>
        <w:autoSpaceDE w:val="0"/>
        <w:autoSpaceDN w:val="0"/>
        <w:adjustRightInd w:val="0"/>
        <w:spacing w:line="360" w:lineRule="auto"/>
        <w:ind w:firstLine="480" w:firstLineChars="200"/>
        <w:rPr>
          <w:rFonts w:ascii="仿宋" w:hAnsi="仿宋" w:eastAsia="仿宋" w:cs="宋体"/>
          <w:color w:val="000000"/>
          <w:kern w:val="0"/>
          <w:sz w:val="24"/>
        </w:rPr>
      </w:pPr>
      <w:r>
        <w:rPr>
          <w:rFonts w:hint="eastAsia" w:ascii="仿宋" w:hAnsi="仿宋" w:eastAsia="仿宋" w:cs="宋体"/>
          <w:color w:val="000000"/>
          <w:kern w:val="0"/>
          <w:sz w:val="24"/>
        </w:rPr>
        <w:t>本公司根据大部分客户的交易习惯和自身系统实际，非交易时间的买</w:t>
      </w:r>
      <w:r>
        <w:rPr>
          <w:rFonts w:ascii="仿宋" w:hAnsi="仿宋" w:eastAsia="仿宋" w:cs="宋体"/>
          <w:color w:val="000000"/>
          <w:kern w:val="0"/>
          <w:sz w:val="24"/>
        </w:rPr>
        <w:t>/</w:t>
      </w:r>
      <w:r>
        <w:rPr>
          <w:rFonts w:hint="eastAsia" w:ascii="仿宋" w:hAnsi="仿宋" w:eastAsia="仿宋" w:cs="宋体"/>
          <w:color w:val="000000"/>
          <w:kern w:val="0"/>
          <w:sz w:val="24"/>
        </w:rPr>
        <w:t>卖委托和撤单规则为：对非交易时间的委托，综合考虑设定报盘时间，到了本公司设定的该报盘时间点，系统把该时间点前的委托及之后新增委托按时间顺序发送交易所申报数据库接口等待正式报盘。该模式下，客户对非交易时间内尚未申报到交易所的委托撤单的，结果有两种情况。一种是在设定报盘时间前撤单的，撤单成功；第二种是设定报盘时间后撤单的，客户买</w:t>
      </w:r>
      <w:r>
        <w:rPr>
          <w:rFonts w:ascii="仿宋" w:hAnsi="仿宋" w:eastAsia="仿宋" w:cs="宋体"/>
          <w:color w:val="000000"/>
          <w:kern w:val="0"/>
          <w:sz w:val="24"/>
        </w:rPr>
        <w:t>/</w:t>
      </w:r>
      <w:r>
        <w:rPr>
          <w:rFonts w:hint="eastAsia" w:ascii="仿宋" w:hAnsi="仿宋" w:eastAsia="仿宋" w:cs="宋体"/>
          <w:color w:val="000000"/>
          <w:kern w:val="0"/>
          <w:sz w:val="24"/>
        </w:rPr>
        <w:t>卖委托指令已在撤单指令之前向交易所主机申报，该种情况下撤单结果与交易所交易时间内的撤单规则相同，即若在撤单指令申报时，客户买</w:t>
      </w:r>
      <w:r>
        <w:rPr>
          <w:rFonts w:ascii="仿宋" w:hAnsi="仿宋" w:eastAsia="仿宋" w:cs="宋体"/>
          <w:color w:val="000000"/>
          <w:kern w:val="0"/>
          <w:sz w:val="24"/>
        </w:rPr>
        <w:t>/</w:t>
      </w:r>
      <w:r>
        <w:rPr>
          <w:rFonts w:hint="eastAsia" w:ascii="仿宋" w:hAnsi="仿宋" w:eastAsia="仿宋" w:cs="宋体"/>
          <w:color w:val="000000"/>
          <w:kern w:val="0"/>
          <w:sz w:val="24"/>
        </w:rPr>
        <w:t>卖委托已成交，则撤单失败，若未成交，则撤单成功。请投资者在非交易时间进行委托、撤单操作后，查询确认委托申报处理结果。</w:t>
      </w:r>
    </w:p>
    <w:p>
      <w:pPr>
        <w:autoSpaceDE w:val="0"/>
        <w:autoSpaceDN w:val="0"/>
        <w:adjustRightInd w:val="0"/>
        <w:spacing w:line="360" w:lineRule="auto"/>
        <w:ind w:firstLine="480" w:firstLineChars="200"/>
        <w:rPr>
          <w:rFonts w:ascii="仿宋" w:hAnsi="仿宋" w:eastAsia="仿宋" w:cs="宋体"/>
          <w:color w:val="000000"/>
          <w:kern w:val="0"/>
          <w:sz w:val="24"/>
        </w:rPr>
      </w:pPr>
      <w:r>
        <w:rPr>
          <w:rFonts w:hint="eastAsia" w:ascii="仿宋" w:hAnsi="仿宋" w:eastAsia="仿宋" w:cs="宋体"/>
          <w:color w:val="000000"/>
          <w:kern w:val="0"/>
          <w:sz w:val="24"/>
        </w:rPr>
        <w:t>非交易时间的委托服务的具体时间会受到证券交易所、证券登记结算机构、证券监管部门安排的测试和演练，交易规则和技术限制，证券公司系统升级维护和应急演练，证券和资金清算对账等多种因素影响，无法确定准确时间。投资者需留意相关提示信息，防止操作无效和查询信息不准确。</w:t>
      </w:r>
    </w:p>
    <w:p>
      <w:pPr>
        <w:autoSpaceDE w:val="0"/>
        <w:autoSpaceDN w:val="0"/>
        <w:adjustRightInd w:val="0"/>
        <w:spacing w:line="360" w:lineRule="auto"/>
        <w:ind w:firstLine="480" w:firstLineChars="200"/>
        <w:rPr>
          <w:rFonts w:ascii="仿宋" w:hAnsi="仿宋" w:eastAsia="仿宋" w:cs="宋体"/>
          <w:color w:val="000000"/>
          <w:kern w:val="0"/>
          <w:sz w:val="24"/>
        </w:rPr>
      </w:pPr>
      <w:r>
        <w:rPr>
          <w:rFonts w:hint="eastAsia" w:ascii="仿宋" w:hAnsi="仿宋" w:eastAsia="仿宋" w:cs="宋体"/>
          <w:color w:val="000000"/>
          <w:kern w:val="0"/>
          <w:sz w:val="24"/>
        </w:rPr>
        <w:t>十六、证券交易费用收取标准约定提示。投资者在我司成功开户后，您的证券交易费用按照证监会、各证券交易所和中国证券登记结算公司等部门的所有相关规定标准收取。各证券交易品种的证券交易印花税（</w:t>
      </w:r>
      <w:r>
        <w:rPr>
          <w:rFonts w:ascii="仿宋" w:hAnsi="仿宋" w:eastAsia="仿宋" w:cs="宋体"/>
          <w:color w:val="000000"/>
          <w:kern w:val="0"/>
          <w:sz w:val="24"/>
        </w:rPr>
        <w:t>A</w:t>
      </w:r>
      <w:r>
        <w:rPr>
          <w:rFonts w:hint="eastAsia" w:ascii="仿宋" w:hAnsi="仿宋" w:eastAsia="仿宋" w:cs="宋体"/>
          <w:color w:val="000000"/>
          <w:kern w:val="0"/>
          <w:sz w:val="24"/>
        </w:rPr>
        <w:t>股、</w:t>
      </w:r>
      <w:r>
        <w:rPr>
          <w:rFonts w:ascii="仿宋" w:hAnsi="仿宋" w:eastAsia="仿宋" w:cs="宋体"/>
          <w:color w:val="000000"/>
          <w:kern w:val="0"/>
          <w:sz w:val="24"/>
        </w:rPr>
        <w:t>B</w:t>
      </w:r>
      <w:r>
        <w:rPr>
          <w:rFonts w:hint="eastAsia" w:ascii="仿宋" w:hAnsi="仿宋" w:eastAsia="仿宋" w:cs="宋体"/>
          <w:color w:val="000000"/>
          <w:kern w:val="0"/>
          <w:sz w:val="24"/>
        </w:rPr>
        <w:t>股、股转股票、优先股等证券收取）、证券交易经手费、证券交易监管费等费用，属于监管部门规定的代扣代缴的费用，本公司严格按各证券交易品种对应的规定标准代扣并上缴。本公司为您开户的分支机构制定了符合监管规定的佣金收取标准，现场开户或见证开户的客户在开户时一并签署《</w:t>
      </w:r>
      <w:r>
        <w:rPr>
          <w:rFonts w:hint="eastAsia" w:ascii="仿宋" w:hAnsi="仿宋" w:eastAsia="仿宋"/>
          <w:sz w:val="24"/>
        </w:rPr>
        <w:t>客户证券交易代理佣金收费约定书</w:t>
      </w:r>
      <w:r>
        <w:rPr>
          <w:rFonts w:hint="eastAsia" w:ascii="仿宋" w:hAnsi="仿宋" w:eastAsia="仿宋" w:cs="宋体"/>
          <w:color w:val="000000"/>
          <w:kern w:val="0"/>
          <w:sz w:val="24"/>
        </w:rPr>
        <w:t>》；通过网上新开立账户的各证券交易品种的佣金标准是您所开户分支机构的默认佣金标准，您可以通过中银证券手机APP、证券交易流水查询，也可向开户分支机构咨询，若您的账户资产规模、所享受的服务范围等符合佣金优惠条件，可以向开户营业部申请佣金优惠标准，之后按双方约定的优惠标准收取。</w:t>
      </w:r>
    </w:p>
    <w:p>
      <w:pPr>
        <w:autoSpaceDE w:val="0"/>
        <w:autoSpaceDN w:val="0"/>
        <w:adjustRightInd w:val="0"/>
        <w:spacing w:line="360" w:lineRule="auto"/>
        <w:ind w:firstLine="480" w:firstLineChars="200"/>
        <w:rPr>
          <w:rFonts w:ascii="仿宋" w:hAnsi="仿宋" w:eastAsia="仿宋" w:cs="宋体"/>
          <w:color w:val="000000"/>
          <w:kern w:val="0"/>
          <w:sz w:val="24"/>
        </w:rPr>
      </w:pPr>
      <w:r>
        <w:rPr>
          <w:rFonts w:hint="eastAsia" w:ascii="仿宋" w:hAnsi="仿宋" w:eastAsia="仿宋" w:cs="宋体"/>
          <w:color w:val="000000"/>
          <w:kern w:val="0"/>
          <w:sz w:val="24"/>
        </w:rPr>
        <w:t>十七、开通短信服务提示。手机短信是向客户发送</w:t>
      </w:r>
      <w:r>
        <w:rPr>
          <w:rFonts w:hint="eastAsia" w:ascii="仿宋" w:hAnsi="仿宋" w:eastAsia="仿宋"/>
          <w:sz w:val="24"/>
        </w:rPr>
        <w:t>重要信息和提供服务的主要方式之一，本公司免费为客户开通短信服务，提请您如实提供自己的手机号码，若号码发生变更务必及时更新。因未开通短信服务或未提供有效手机号码而影响重要信息的传达，投资者自行承担责任。投资者欲取消短信服务功能可致电本公司客服中心办理，或通过客户自助方式办理。</w:t>
      </w:r>
    </w:p>
    <w:p>
      <w:pPr>
        <w:autoSpaceDE w:val="0"/>
        <w:autoSpaceDN w:val="0"/>
        <w:adjustRightInd w:val="0"/>
        <w:spacing w:line="360" w:lineRule="auto"/>
        <w:ind w:firstLine="480" w:firstLineChars="200"/>
        <w:rPr>
          <w:rFonts w:ascii="仿宋" w:hAnsi="仿宋" w:eastAsia="仿宋"/>
          <w:sz w:val="24"/>
        </w:rPr>
      </w:pPr>
      <w:r>
        <w:rPr>
          <w:rFonts w:hint="eastAsia" w:ascii="仿宋" w:hAnsi="仿宋" w:eastAsia="仿宋"/>
          <w:sz w:val="24"/>
        </w:rPr>
        <w:t>投资者在使用本公司服务与产品前，请认真阅读并理解相关业务规则、服务协议等内容，避免因接受服务与产品而遭受损失。同意使用服务与产品的投资者，自行承担投资风险，证券公司不以任何方式向投资者作出不受损失或者取得最低收益的承诺。</w:t>
      </w:r>
    </w:p>
    <w:p>
      <w:pPr>
        <w:widowControl/>
        <w:spacing w:line="360" w:lineRule="auto"/>
        <w:ind w:firstLine="480" w:firstLineChars="200"/>
        <w:jc w:val="left"/>
        <w:rPr>
          <w:rFonts w:ascii="仿宋" w:hAnsi="仿宋" w:eastAsia="仿宋" w:cs="宋体"/>
          <w:color w:val="000000"/>
          <w:kern w:val="0"/>
          <w:sz w:val="24"/>
        </w:rPr>
      </w:pPr>
      <w:r>
        <w:rPr>
          <w:rFonts w:hint="eastAsia" w:ascii="仿宋" w:hAnsi="仿宋" w:eastAsia="仿宋"/>
          <w:sz w:val="24"/>
        </w:rPr>
        <w:t>（本告知书揭示事项仅为列举性质，未能详尽列明投资者使用服务与产品所面临的全部风险和可能导致投资者投资损失的所有因素。请您日常务必留意本公司网站、客户交易端、微信平台、营业部公告栏、客服中心等发布的相关内容，以及中国证监会、各证券交易所、中国证券登记结算公司、中国证券业协会等网站发布的相关</w:t>
      </w:r>
      <w:r>
        <w:rPr>
          <w:rFonts w:hint="eastAsia" w:ascii="仿宋" w:hAnsi="仿宋" w:eastAsia="仿宋" w:cs="宋体"/>
          <w:color w:val="000000"/>
          <w:kern w:val="0"/>
          <w:sz w:val="24"/>
        </w:rPr>
        <w:t>法规、交易规则和公告等，及时了解相关信息，提高自我保护能力。）</w:t>
      </w:r>
    </w:p>
    <w:p>
      <w:pPr>
        <w:tabs>
          <w:tab w:val="left" w:pos="4500"/>
        </w:tabs>
        <w:spacing w:line="360" w:lineRule="auto"/>
        <w:ind w:firstLine="482" w:firstLineChars="200"/>
        <w:rPr>
          <w:rFonts w:ascii="仿宋" w:hAnsi="仿宋" w:eastAsia="仿宋" w:cs="华文中宋"/>
          <w:b/>
          <w:bCs/>
          <w:kern w:val="0"/>
          <w:sz w:val="24"/>
        </w:rPr>
      </w:pPr>
      <w:r>
        <w:rPr>
          <w:rFonts w:hint="eastAsia" w:ascii="仿宋" w:hAnsi="仿宋" w:eastAsia="仿宋"/>
          <w:b/>
          <w:sz w:val="24"/>
        </w:rPr>
        <w:t>本投资者确认已详细阅读并完全理解了上述的各项内容，在签署页签署视同签署认可。</w:t>
      </w:r>
    </w:p>
    <w:p>
      <w:pPr>
        <w:widowControl/>
        <w:spacing w:line="360" w:lineRule="auto"/>
        <w:ind w:firstLine="480" w:firstLineChars="200"/>
        <w:jc w:val="left"/>
        <w:rPr>
          <w:rFonts w:ascii="仿宋" w:hAnsi="仿宋" w:eastAsia="仿宋"/>
          <w:sz w:val="24"/>
        </w:rPr>
      </w:pPr>
      <w:r>
        <w:rPr>
          <w:rFonts w:ascii="仿宋" w:hAnsi="仿宋" w:eastAsia="仿宋"/>
          <w:sz w:val="24"/>
        </w:rPr>
        <w:br w:type="page"/>
      </w:r>
    </w:p>
    <w:p>
      <w:pPr>
        <w:pStyle w:val="19"/>
        <w:numPr>
          <w:ilvl w:val="0"/>
          <w:numId w:val="1"/>
        </w:numPr>
        <w:rPr>
          <w:rFonts w:ascii="仿宋" w:hAnsi="仿宋" w:eastAsia="仿宋"/>
        </w:rPr>
      </w:pPr>
      <w:bookmarkStart w:id="115" w:name="_Toc11123"/>
      <w:bookmarkStart w:id="116" w:name="_Toc17502"/>
      <w:bookmarkStart w:id="117" w:name="_Toc14094"/>
      <w:bookmarkStart w:id="118" w:name="_Toc6188"/>
      <w:bookmarkStart w:id="119" w:name="_Toc8097"/>
      <w:bookmarkStart w:id="120" w:name="_Toc10777"/>
      <w:bookmarkStart w:id="121" w:name="_Toc31344"/>
      <w:bookmarkStart w:id="122" w:name="_Toc27887"/>
      <w:bookmarkStart w:id="123" w:name="_Toc17689"/>
      <w:bookmarkStart w:id="124" w:name="_Toc6320"/>
      <w:bookmarkStart w:id="125" w:name="_Toc3083"/>
      <w:r>
        <w:rPr>
          <w:rFonts w:hint="eastAsia" w:ascii="仿宋" w:hAnsi="仿宋" w:eastAsia="仿宋"/>
        </w:rPr>
        <w:t>买者自负承诺函</w:t>
      </w:r>
      <w:bookmarkEnd w:id="115"/>
      <w:bookmarkEnd w:id="116"/>
      <w:bookmarkEnd w:id="117"/>
      <w:bookmarkEnd w:id="118"/>
      <w:bookmarkEnd w:id="119"/>
      <w:bookmarkEnd w:id="120"/>
      <w:bookmarkEnd w:id="121"/>
      <w:bookmarkEnd w:id="122"/>
      <w:bookmarkEnd w:id="123"/>
      <w:bookmarkEnd w:id="124"/>
      <w:bookmarkEnd w:id="125"/>
    </w:p>
    <w:p>
      <w:pPr>
        <w:adjustRightInd w:val="0"/>
        <w:snapToGrid w:val="0"/>
        <w:spacing w:line="360" w:lineRule="auto"/>
        <w:jc w:val="center"/>
        <w:rPr>
          <w:rFonts w:ascii="仿宋" w:hAnsi="仿宋" w:eastAsia="仿宋"/>
          <w:b/>
          <w:szCs w:val="21"/>
        </w:rPr>
      </w:pPr>
    </w:p>
    <w:p>
      <w:pPr>
        <w:spacing w:line="480" w:lineRule="exact"/>
        <w:ind w:hanging="1"/>
        <w:rPr>
          <w:rFonts w:ascii="仿宋" w:hAnsi="仿宋" w:eastAsia="仿宋"/>
          <w:sz w:val="24"/>
        </w:rPr>
      </w:pPr>
      <w:r>
        <w:rPr>
          <w:rFonts w:hint="eastAsia" w:ascii="仿宋" w:hAnsi="仿宋" w:eastAsia="仿宋"/>
          <w:sz w:val="24"/>
        </w:rPr>
        <w:t>本证券投资者（下称“本投资者”）郑重承诺如下：</w:t>
      </w:r>
    </w:p>
    <w:p>
      <w:pPr>
        <w:spacing w:line="480" w:lineRule="exact"/>
        <w:ind w:firstLine="480" w:firstLineChars="200"/>
        <w:rPr>
          <w:rFonts w:ascii="仿宋" w:hAnsi="仿宋" w:eastAsia="仿宋"/>
          <w:sz w:val="24"/>
        </w:rPr>
      </w:pPr>
      <w:r>
        <w:rPr>
          <w:rFonts w:hint="eastAsia" w:ascii="仿宋" w:hAnsi="仿宋" w:eastAsia="仿宋"/>
          <w:sz w:val="24"/>
        </w:rPr>
        <w:t>1、本投资者具有相应合法的证券投资主体资格，不存在任何法律、行政法规、中国证券监督管理委员会和上海证券交易所、深圳证券交易所颁布的规范性文件及交易规则禁止或限制投资证券市场的情形。</w:t>
      </w:r>
    </w:p>
    <w:p>
      <w:pPr>
        <w:spacing w:line="480" w:lineRule="exact"/>
        <w:ind w:hanging="1"/>
        <w:rPr>
          <w:rFonts w:ascii="仿宋" w:hAnsi="仿宋" w:eastAsia="仿宋"/>
          <w:sz w:val="24"/>
        </w:rPr>
      </w:pPr>
      <w:r>
        <w:rPr>
          <w:rFonts w:hint="eastAsia" w:ascii="仿宋" w:hAnsi="仿宋" w:eastAsia="仿宋"/>
          <w:sz w:val="24"/>
        </w:rPr>
        <w:t xml:space="preserve">    2、本投资者提供的所有证件、资料均真实、全面、有效、合法，并且保证资金来源合法。</w:t>
      </w:r>
    </w:p>
    <w:p>
      <w:pPr>
        <w:spacing w:line="480" w:lineRule="exact"/>
        <w:ind w:firstLine="480" w:firstLineChars="200"/>
        <w:rPr>
          <w:rFonts w:ascii="仿宋" w:hAnsi="仿宋" w:eastAsia="仿宋"/>
          <w:sz w:val="24"/>
        </w:rPr>
      </w:pPr>
      <w:r>
        <w:rPr>
          <w:rFonts w:hint="eastAsia" w:ascii="仿宋" w:hAnsi="仿宋" w:eastAsia="仿宋"/>
          <w:sz w:val="24"/>
        </w:rPr>
        <w:t>3、本投资者承诺自觉遵守与证券市场有关的法律、法规、规章制度及规范性文件，上海证券交易所交易规则、深圳证券交易所交易规则和中国证券登记结算有限责任公司的各项业务规定，以及所在证券公司的相关规章制度，并且自觉配合上海证券交易所、深圳证券交易所、中国证券登记结算有限责任公司和所在证券公司的规范证券市场行为。</w:t>
      </w:r>
    </w:p>
    <w:p>
      <w:pPr>
        <w:spacing w:line="480" w:lineRule="exact"/>
        <w:ind w:hanging="1"/>
        <w:rPr>
          <w:rFonts w:ascii="仿宋" w:hAnsi="仿宋" w:eastAsia="仿宋"/>
          <w:sz w:val="24"/>
        </w:rPr>
      </w:pPr>
      <w:r>
        <w:rPr>
          <w:rFonts w:hint="eastAsia" w:ascii="仿宋" w:hAnsi="仿宋" w:eastAsia="仿宋"/>
          <w:sz w:val="24"/>
        </w:rPr>
        <w:t xml:space="preserve">    4、本投资者承诺在进行证券投资之前已经对证券交易规则、证券交易惯例、证券交易知识、所投资的证券产品有了一定的了解，并完全知悉证券投资过程中可能蕴含的亏损风险与盈利机会。</w:t>
      </w:r>
    </w:p>
    <w:p>
      <w:pPr>
        <w:spacing w:line="480" w:lineRule="exact"/>
        <w:ind w:hanging="1"/>
        <w:rPr>
          <w:rFonts w:ascii="仿宋" w:hAnsi="仿宋" w:eastAsia="仿宋"/>
          <w:sz w:val="24"/>
        </w:rPr>
      </w:pPr>
      <w:r>
        <w:rPr>
          <w:rFonts w:hint="eastAsia" w:ascii="仿宋" w:hAnsi="仿宋" w:eastAsia="仿宋"/>
          <w:sz w:val="24"/>
        </w:rPr>
        <w:t xml:space="preserve">    </w:t>
      </w:r>
      <w:r>
        <w:rPr>
          <w:rFonts w:hint="eastAsia" w:ascii="仿宋" w:hAnsi="仿宋" w:eastAsia="仿宋"/>
          <w:b/>
          <w:sz w:val="24"/>
        </w:rPr>
        <w:t>5、本投资者承诺已充分理解“买者自负”的含义，本投资者确认：本投资者进行的所有证券投资既存在盈利的可能，同时也存在亏损的可能，无论证券投资的结果是盈利或亏损均由本投资者自行承担。</w:t>
      </w:r>
    </w:p>
    <w:p>
      <w:pPr>
        <w:tabs>
          <w:tab w:val="left" w:pos="4500"/>
        </w:tabs>
        <w:spacing w:line="360" w:lineRule="auto"/>
        <w:ind w:firstLine="482" w:firstLineChars="200"/>
        <w:rPr>
          <w:rFonts w:ascii="仿宋" w:hAnsi="仿宋" w:eastAsia="仿宋" w:cs="华文中宋"/>
          <w:b/>
          <w:bCs/>
          <w:kern w:val="0"/>
          <w:sz w:val="24"/>
        </w:rPr>
      </w:pPr>
      <w:r>
        <w:rPr>
          <w:rFonts w:hint="eastAsia" w:ascii="仿宋" w:hAnsi="仿宋" w:eastAsia="仿宋"/>
          <w:b/>
          <w:sz w:val="24"/>
        </w:rPr>
        <w:t>本投资者确认已详细阅读并完全理解了上述的各项内容，在签署页签署视同签署认可。</w:t>
      </w:r>
    </w:p>
    <w:p>
      <w:pPr>
        <w:autoSpaceDE w:val="0"/>
        <w:autoSpaceDN w:val="0"/>
        <w:adjustRightInd w:val="0"/>
        <w:spacing w:line="360" w:lineRule="auto"/>
        <w:ind w:firstLine="420"/>
        <w:jc w:val="left"/>
        <w:rPr>
          <w:rFonts w:ascii="仿宋" w:hAnsi="仿宋" w:eastAsia="仿宋"/>
          <w:sz w:val="24"/>
        </w:rPr>
      </w:pPr>
    </w:p>
    <w:p>
      <w:pPr>
        <w:pStyle w:val="19"/>
        <w:numPr>
          <w:ilvl w:val="0"/>
          <w:numId w:val="1"/>
        </w:numPr>
        <w:rPr>
          <w:rFonts w:ascii="仿宋" w:hAnsi="仿宋" w:eastAsia="仿宋"/>
        </w:rPr>
      </w:pPr>
      <w:r>
        <w:rPr>
          <w:rFonts w:ascii="仿宋" w:hAnsi="仿宋" w:eastAsia="仿宋"/>
          <w:sz w:val="24"/>
        </w:rPr>
        <w:br w:type="page"/>
      </w:r>
      <w:bookmarkStart w:id="126" w:name="_Toc996"/>
      <w:bookmarkStart w:id="127" w:name="_Toc878"/>
      <w:bookmarkStart w:id="128" w:name="_Toc4372"/>
      <w:bookmarkStart w:id="129" w:name="_Toc13451"/>
      <w:bookmarkStart w:id="130" w:name="_Toc31548"/>
      <w:r>
        <w:rPr>
          <w:rFonts w:hint="eastAsia" w:ascii="仿宋" w:hAnsi="仿宋" w:eastAsia="仿宋"/>
        </w:rPr>
        <w:t>网上自助委托风险揭示书</w:t>
      </w:r>
      <w:bookmarkEnd w:id="126"/>
      <w:bookmarkEnd w:id="127"/>
      <w:bookmarkEnd w:id="128"/>
      <w:bookmarkEnd w:id="129"/>
      <w:bookmarkEnd w:id="130"/>
    </w:p>
    <w:p>
      <w:pPr>
        <w:spacing w:line="360" w:lineRule="auto"/>
        <w:rPr>
          <w:rFonts w:ascii="仿宋" w:hAnsi="仿宋" w:eastAsia="仿宋"/>
          <w:sz w:val="24"/>
        </w:rPr>
      </w:pPr>
    </w:p>
    <w:p>
      <w:pPr>
        <w:spacing w:line="360" w:lineRule="auto"/>
        <w:rPr>
          <w:rFonts w:ascii="仿宋" w:hAnsi="仿宋" w:eastAsia="仿宋"/>
          <w:sz w:val="24"/>
        </w:rPr>
      </w:pPr>
      <w:r>
        <w:rPr>
          <w:rFonts w:hint="eastAsia" w:ascii="仿宋" w:hAnsi="仿宋" w:eastAsia="仿宋"/>
          <w:sz w:val="24"/>
        </w:rPr>
        <w:t>尊敬的投资者：</w:t>
      </w:r>
    </w:p>
    <w:p>
      <w:pPr>
        <w:autoSpaceDE w:val="0"/>
        <w:autoSpaceDN w:val="0"/>
        <w:adjustRightInd w:val="0"/>
        <w:spacing w:line="360" w:lineRule="auto"/>
        <w:ind w:firstLine="480" w:firstLineChars="200"/>
        <w:jc w:val="left"/>
        <w:rPr>
          <w:rFonts w:ascii="仿宋" w:hAnsi="仿宋" w:eastAsia="仿宋"/>
          <w:sz w:val="24"/>
        </w:rPr>
      </w:pPr>
      <w:r>
        <w:rPr>
          <w:rFonts w:hint="eastAsia" w:ascii="仿宋" w:hAnsi="仿宋" w:eastAsia="仿宋"/>
          <w:sz w:val="24"/>
        </w:rPr>
        <w:t>网上委托已成为证券投资者的主要交易方式，中银证券对网上委托系统采取了多种安全措施，以保护投资者资料和委托交易的安全。尽管如此，影响网络安全的因素很多，本着对投资者负责的态度，特向您揭示风险和注意事项。若您申请开通网上委托并使用本公司提供的网上委托系统，我们认为您已完全了解网上委托的风险，并能够承受网上委托风险及承担由此带来的可能的损失。</w:t>
      </w:r>
    </w:p>
    <w:p>
      <w:pPr>
        <w:spacing w:line="360" w:lineRule="auto"/>
        <w:ind w:firstLine="480" w:firstLineChars="200"/>
        <w:rPr>
          <w:rFonts w:ascii="仿宋" w:hAnsi="仿宋" w:eastAsia="仿宋"/>
          <w:sz w:val="24"/>
        </w:rPr>
      </w:pPr>
      <w:r>
        <w:rPr>
          <w:rFonts w:hint="eastAsia" w:ascii="仿宋" w:hAnsi="仿宋" w:eastAsia="仿宋"/>
          <w:sz w:val="24"/>
        </w:rPr>
        <w:t>网上委托主要的风险有：</w:t>
      </w:r>
    </w:p>
    <w:p>
      <w:pPr>
        <w:spacing w:line="360" w:lineRule="auto"/>
        <w:ind w:firstLine="480" w:firstLineChars="200"/>
        <w:rPr>
          <w:rFonts w:ascii="仿宋" w:hAnsi="仿宋" w:eastAsia="仿宋"/>
          <w:sz w:val="24"/>
        </w:rPr>
      </w:pPr>
      <w:r>
        <w:rPr>
          <w:rFonts w:hint="eastAsia" w:ascii="仿宋" w:hAnsi="仿宋" w:eastAsia="仿宋"/>
          <w:sz w:val="24"/>
        </w:rPr>
        <w:t>1、由于互联网和移动通讯网络数据传输等原因，交易指令可能会出现中断、停顿、延迟、数据错误等情况；</w:t>
      </w:r>
    </w:p>
    <w:p>
      <w:pPr>
        <w:autoSpaceDE w:val="0"/>
        <w:autoSpaceDN w:val="0"/>
        <w:adjustRightInd w:val="0"/>
        <w:spacing w:line="360" w:lineRule="auto"/>
        <w:ind w:firstLine="480" w:firstLineChars="200"/>
        <w:jc w:val="left"/>
        <w:rPr>
          <w:rFonts w:ascii="仿宋" w:hAnsi="仿宋" w:eastAsia="仿宋" w:cs="仿宋"/>
          <w:color w:val="000000"/>
          <w:kern w:val="0"/>
          <w:sz w:val="24"/>
        </w:rPr>
      </w:pPr>
      <w:r>
        <w:rPr>
          <w:rFonts w:hint="eastAsia" w:ascii="仿宋" w:hAnsi="仿宋" w:eastAsia="仿宋" w:cs="仿宋"/>
          <w:color w:val="000000"/>
          <w:kern w:val="0"/>
          <w:sz w:val="24"/>
        </w:rPr>
        <w:t>2、由于互联网网络带宽限制、网络传输通道拥挤或堵塞等因素的影响，可能存在投资者不能及时登录或不能成功登陆行情系统、网上委托系统，无法进行正常操作的风险；</w:t>
      </w:r>
    </w:p>
    <w:p>
      <w:pPr>
        <w:spacing w:line="360" w:lineRule="auto"/>
        <w:ind w:firstLine="480" w:firstLineChars="200"/>
        <w:rPr>
          <w:rFonts w:ascii="仿宋" w:hAnsi="仿宋" w:eastAsia="仿宋"/>
          <w:sz w:val="24"/>
        </w:rPr>
      </w:pPr>
      <w:r>
        <w:rPr>
          <w:rFonts w:hint="eastAsia" w:ascii="仿宋" w:hAnsi="仿宋" w:eastAsia="仿宋"/>
          <w:sz w:val="24"/>
        </w:rPr>
        <w:t>3、投资者账号及密码信息泄露或客户身份可能被仿冒；</w:t>
      </w:r>
    </w:p>
    <w:p>
      <w:pPr>
        <w:spacing w:line="360" w:lineRule="auto"/>
        <w:ind w:firstLine="480" w:firstLineChars="200"/>
        <w:rPr>
          <w:rFonts w:ascii="仿宋" w:hAnsi="仿宋" w:eastAsia="仿宋"/>
          <w:sz w:val="24"/>
        </w:rPr>
      </w:pPr>
      <w:r>
        <w:rPr>
          <w:rFonts w:hint="eastAsia" w:ascii="仿宋" w:hAnsi="仿宋" w:eastAsia="仿宋"/>
          <w:sz w:val="24"/>
        </w:rPr>
        <w:t>4、由于互联网</w:t>
      </w:r>
      <w:r>
        <w:rPr>
          <w:rFonts w:hint="eastAsia" w:ascii="仿宋" w:hAnsi="仿宋" w:eastAsia="仿宋"/>
          <w:bCs/>
          <w:sz w:val="24"/>
        </w:rPr>
        <w:t>和移动通讯网络</w:t>
      </w:r>
      <w:r>
        <w:rPr>
          <w:rFonts w:hint="eastAsia" w:ascii="仿宋" w:hAnsi="仿宋" w:eastAsia="仿宋"/>
          <w:sz w:val="24"/>
        </w:rPr>
        <w:t>上存在黑客恶意攻击的可能性，网络服务器可能会出现故障及其他不可预测的因素，行情信息及其他证券信息可能会出现错误或延迟；</w:t>
      </w:r>
    </w:p>
    <w:p>
      <w:pPr>
        <w:spacing w:line="360" w:lineRule="auto"/>
        <w:ind w:firstLine="480" w:firstLineChars="200"/>
        <w:rPr>
          <w:rFonts w:ascii="仿宋" w:hAnsi="仿宋" w:eastAsia="仿宋"/>
          <w:sz w:val="24"/>
        </w:rPr>
      </w:pPr>
      <w:r>
        <w:rPr>
          <w:rFonts w:hint="eastAsia" w:ascii="仿宋" w:hAnsi="仿宋" w:eastAsia="仿宋"/>
          <w:sz w:val="24"/>
        </w:rPr>
        <w:t>5、投资者的网络终端设备及软件系统可能会受到非法攻击或病毒感染或与本公司所提供的网上委托系统不兼容，可能会妨碍交易、转账或行情软件等的使用，无法下达委托或委托失败或无法顺利接收行情；</w:t>
      </w:r>
    </w:p>
    <w:p>
      <w:pPr>
        <w:spacing w:line="360" w:lineRule="auto"/>
        <w:ind w:firstLine="480" w:firstLineChars="200"/>
        <w:rPr>
          <w:rFonts w:ascii="仿宋" w:hAnsi="仿宋" w:eastAsia="仿宋"/>
          <w:sz w:val="24"/>
        </w:rPr>
      </w:pPr>
      <w:r>
        <w:rPr>
          <w:rFonts w:hint="eastAsia" w:ascii="仿宋" w:hAnsi="仿宋" w:eastAsia="仿宋"/>
          <w:sz w:val="24"/>
        </w:rPr>
        <w:t>6、投资者缺乏网上委托经验，可能因操作不当造成委托失败或委托失误；</w:t>
      </w:r>
    </w:p>
    <w:p>
      <w:pPr>
        <w:spacing w:line="360" w:lineRule="auto"/>
        <w:ind w:firstLine="480" w:firstLineChars="200"/>
        <w:rPr>
          <w:rFonts w:ascii="仿宋" w:hAnsi="仿宋" w:eastAsia="仿宋"/>
          <w:sz w:val="24"/>
        </w:rPr>
      </w:pPr>
      <w:r>
        <w:rPr>
          <w:rFonts w:hint="eastAsia" w:ascii="仿宋" w:hAnsi="仿宋" w:eastAsia="仿宋"/>
          <w:sz w:val="24"/>
        </w:rPr>
        <w:t>7、由于网络故障，投资者通过网上委托系统进行证券交易时，您的网络终端设备已显示发送成功，而本公司交易服务器未接到该委托指令，从而使委托实际上不成功的风险；</w:t>
      </w:r>
    </w:p>
    <w:p>
      <w:pPr>
        <w:autoSpaceDE w:val="0"/>
        <w:autoSpaceDN w:val="0"/>
        <w:adjustRightInd w:val="0"/>
        <w:spacing w:line="360" w:lineRule="auto"/>
        <w:ind w:firstLine="480" w:firstLineChars="200"/>
        <w:jc w:val="left"/>
        <w:rPr>
          <w:rFonts w:ascii="仿宋" w:hAnsi="仿宋" w:eastAsia="仿宋" w:cs="仿宋"/>
          <w:color w:val="000000"/>
          <w:kern w:val="0"/>
          <w:sz w:val="24"/>
        </w:rPr>
      </w:pPr>
      <w:r>
        <w:rPr>
          <w:rFonts w:hint="eastAsia" w:ascii="仿宋" w:hAnsi="仿宋" w:eastAsia="仿宋" w:cs="仿宋"/>
          <w:color w:val="000000"/>
          <w:kern w:val="0"/>
          <w:sz w:val="24"/>
        </w:rPr>
        <w:t>8、移动终端发布的证券交易行情信息由于传输速度的原因可能存在滞后的情形，可能对投资者交易造成一定的影响。</w:t>
      </w:r>
    </w:p>
    <w:p>
      <w:pPr>
        <w:autoSpaceDE w:val="0"/>
        <w:autoSpaceDN w:val="0"/>
        <w:adjustRightInd w:val="0"/>
        <w:spacing w:line="360" w:lineRule="auto"/>
        <w:ind w:firstLine="480" w:firstLineChars="200"/>
        <w:jc w:val="left"/>
        <w:rPr>
          <w:rFonts w:ascii="仿宋" w:hAnsi="仿宋" w:eastAsia="仿宋"/>
          <w:sz w:val="24"/>
        </w:rPr>
      </w:pPr>
      <w:r>
        <w:rPr>
          <w:rFonts w:hint="eastAsia" w:ascii="仿宋" w:hAnsi="仿宋" w:eastAsia="仿宋"/>
          <w:sz w:val="24"/>
        </w:rPr>
        <w:t>本公司对网上委托风险控制的建议：</w:t>
      </w:r>
    </w:p>
    <w:p>
      <w:pPr>
        <w:autoSpaceDE w:val="0"/>
        <w:autoSpaceDN w:val="0"/>
        <w:adjustRightInd w:val="0"/>
        <w:spacing w:line="360" w:lineRule="auto"/>
        <w:jc w:val="left"/>
        <w:rPr>
          <w:rFonts w:ascii="仿宋" w:hAnsi="仿宋" w:eastAsia="仿宋"/>
          <w:sz w:val="24"/>
        </w:rPr>
      </w:pPr>
      <w:r>
        <w:rPr>
          <w:rFonts w:hint="eastAsia" w:ascii="仿宋" w:hAnsi="仿宋" w:eastAsia="仿宋"/>
          <w:sz w:val="24"/>
        </w:rPr>
        <w:t>　　1、根据协议约定，凡使用投资者的资金账号、交易密码进行的网上委托，均视为投资者本人的行为，由此所产生的一切后果全部由投资者承担。因此，请您务必注意个人信息的保密，并定期修改您的交易密码和通讯密码，如果您意识到密码可能泄露，请及时修改密码；</w:t>
      </w:r>
      <w:r>
        <w:rPr>
          <w:rFonts w:ascii="仿宋" w:hAnsi="仿宋" w:eastAsia="仿宋"/>
          <w:sz w:val="24"/>
        </w:rPr>
        <w:t xml:space="preserve"> </w:t>
      </w:r>
    </w:p>
    <w:p>
      <w:pPr>
        <w:autoSpaceDE w:val="0"/>
        <w:autoSpaceDN w:val="0"/>
        <w:adjustRightInd w:val="0"/>
        <w:spacing w:line="360" w:lineRule="auto"/>
        <w:jc w:val="left"/>
        <w:rPr>
          <w:rFonts w:ascii="仿宋" w:hAnsi="仿宋" w:eastAsia="仿宋"/>
          <w:sz w:val="24"/>
        </w:rPr>
      </w:pPr>
      <w:r>
        <w:rPr>
          <w:rFonts w:hint="eastAsia" w:ascii="仿宋" w:hAnsi="仿宋" w:eastAsia="仿宋"/>
          <w:sz w:val="24"/>
        </w:rPr>
        <w:t>　　2、请安装可信赖的病毒防火墙和网络防火墙软件，并确认其正常工作；</w:t>
      </w:r>
    </w:p>
    <w:p>
      <w:pPr>
        <w:autoSpaceDE w:val="0"/>
        <w:autoSpaceDN w:val="0"/>
        <w:adjustRightInd w:val="0"/>
        <w:spacing w:line="360" w:lineRule="auto"/>
        <w:ind w:firstLine="480" w:firstLineChars="200"/>
        <w:jc w:val="left"/>
        <w:rPr>
          <w:rFonts w:ascii="仿宋" w:hAnsi="仿宋" w:eastAsia="仿宋"/>
          <w:sz w:val="24"/>
        </w:rPr>
      </w:pPr>
      <w:r>
        <w:rPr>
          <w:rFonts w:hint="eastAsia" w:ascii="仿宋" w:hAnsi="仿宋" w:eastAsia="仿宋"/>
          <w:sz w:val="24"/>
        </w:rPr>
        <w:t>3、投资者除开通网上委托外，同时还开通柜台委托、电话委托等其它委托方式，当网络中断、高峰拥挤或网上委托被冻结时，您可采用上述委托手段下达委托。按照协议约定，投资者因未办理备用交易方式而产生的经济损失将自行承担。如果您的电脑系统、网络通讯或者网上委托相关软件出现异常情况，请暂时停止网上委托，临时用本公司提供的其他备用委托方式，并请及时告知本公司；</w:t>
      </w:r>
    </w:p>
    <w:p>
      <w:pPr>
        <w:autoSpaceDE w:val="0"/>
        <w:autoSpaceDN w:val="0"/>
        <w:adjustRightInd w:val="0"/>
        <w:spacing w:line="360" w:lineRule="auto"/>
        <w:ind w:firstLine="420"/>
        <w:jc w:val="left"/>
        <w:rPr>
          <w:rFonts w:ascii="仿宋" w:hAnsi="仿宋" w:eastAsia="仿宋"/>
          <w:sz w:val="24"/>
        </w:rPr>
      </w:pPr>
      <w:r>
        <w:rPr>
          <w:rFonts w:hint="eastAsia" w:ascii="仿宋" w:hAnsi="仿宋" w:eastAsia="仿宋"/>
          <w:sz w:val="24"/>
        </w:rPr>
        <w:t>4、不要在网吧等公共电脑上进行登录或交易，以防止投资者信息被非法获取；</w:t>
      </w:r>
    </w:p>
    <w:p>
      <w:pPr>
        <w:autoSpaceDE w:val="0"/>
        <w:autoSpaceDN w:val="0"/>
        <w:adjustRightInd w:val="0"/>
        <w:spacing w:line="360" w:lineRule="auto"/>
        <w:ind w:firstLine="420"/>
        <w:jc w:val="left"/>
        <w:rPr>
          <w:rFonts w:ascii="仿宋" w:hAnsi="仿宋" w:eastAsia="仿宋"/>
          <w:sz w:val="24"/>
        </w:rPr>
      </w:pPr>
      <w:r>
        <w:rPr>
          <w:rFonts w:hint="eastAsia" w:ascii="仿宋" w:hAnsi="仿宋" w:eastAsia="仿宋"/>
          <w:sz w:val="24"/>
        </w:rPr>
        <w:t>5、投资者网上委托所使用的软件必须是本公司提供的或指定站点下载的。投资者使用其它途径获得的软件所产生的后果由投资者自行承担。投资者应保证用于网上证券交易委托的终端设备安全、可靠。对于因您的终端设备系统故障、感染病毒以及被非法入侵等原因造成的损失，本公司不承担责任；</w:t>
      </w:r>
    </w:p>
    <w:p>
      <w:pPr>
        <w:autoSpaceDE w:val="0"/>
        <w:autoSpaceDN w:val="0"/>
        <w:adjustRightInd w:val="0"/>
        <w:spacing w:line="360" w:lineRule="auto"/>
        <w:ind w:firstLine="480" w:firstLineChars="200"/>
        <w:jc w:val="left"/>
        <w:rPr>
          <w:rFonts w:ascii="仿宋" w:hAnsi="仿宋" w:eastAsia="仿宋"/>
          <w:sz w:val="24"/>
        </w:rPr>
      </w:pPr>
      <w:r>
        <w:rPr>
          <w:rFonts w:hint="eastAsia" w:ascii="仿宋" w:hAnsi="仿宋" w:eastAsia="仿宋"/>
          <w:sz w:val="24"/>
        </w:rPr>
        <w:t>6、投资者应知悉在使用网上委托系统时，如果连续输错密码到达本公司规定次数的，本公司有权暂时冻结您的网上委托交易方式。连续输错密码的次数以本公司的交易系统记录为准。您的网上委托被冻结后，应按照本公司的业务规则解冻；</w:t>
      </w:r>
    </w:p>
    <w:p>
      <w:pPr>
        <w:spacing w:line="360" w:lineRule="auto"/>
        <w:ind w:firstLine="480" w:firstLineChars="200"/>
        <w:rPr>
          <w:rFonts w:ascii="仿宋" w:hAnsi="仿宋" w:eastAsia="仿宋"/>
          <w:sz w:val="24"/>
        </w:rPr>
      </w:pPr>
      <w:r>
        <w:rPr>
          <w:rFonts w:hint="eastAsia" w:ascii="仿宋" w:hAnsi="仿宋" w:eastAsia="仿宋"/>
          <w:sz w:val="24"/>
        </w:rPr>
        <w:t>7、投资者不得利用技术或其他手段，攻击本公司网络系统，否则承担由此造成的本公司或其他相关方的损失；</w:t>
      </w:r>
    </w:p>
    <w:p>
      <w:pPr>
        <w:autoSpaceDE w:val="0"/>
        <w:autoSpaceDN w:val="0"/>
        <w:adjustRightInd w:val="0"/>
        <w:spacing w:line="360" w:lineRule="auto"/>
        <w:ind w:firstLine="480" w:firstLineChars="200"/>
        <w:jc w:val="left"/>
        <w:rPr>
          <w:rFonts w:ascii="仿宋" w:hAnsi="仿宋" w:eastAsia="仿宋"/>
          <w:sz w:val="24"/>
        </w:rPr>
      </w:pPr>
      <w:r>
        <w:rPr>
          <w:rFonts w:hint="eastAsia" w:ascii="仿宋" w:hAnsi="仿宋" w:eastAsia="仿宋"/>
          <w:sz w:val="24"/>
        </w:rPr>
        <w:t>8、本公司提供的网上委托软件有不同的版本，投资者需根据自身设备和投资交易范围等选择适合自身的交易软件下载安装。</w:t>
      </w:r>
    </w:p>
    <w:p>
      <w:pPr>
        <w:widowControl/>
        <w:jc w:val="left"/>
        <w:rPr>
          <w:rFonts w:ascii="仿宋" w:hAnsi="仿宋" w:eastAsia="仿宋"/>
          <w:b/>
          <w:sz w:val="24"/>
        </w:rPr>
      </w:pPr>
      <w:r>
        <w:rPr>
          <w:rFonts w:hint="eastAsia" w:ascii="仿宋" w:hAnsi="仿宋" w:eastAsia="仿宋"/>
          <w:b/>
          <w:sz w:val="24"/>
        </w:rPr>
        <w:t>以上《风险揭示书》本投资者已阅读并完全理解，愿意承担证券市场的各种风险。</w:t>
      </w:r>
    </w:p>
    <w:p>
      <w:pPr>
        <w:pStyle w:val="2"/>
        <w:rPr>
          <w:rFonts w:ascii="仿宋" w:hAnsi="仿宋" w:eastAsia="仿宋"/>
          <w:b/>
          <w:sz w:val="24"/>
        </w:rPr>
      </w:pPr>
    </w:p>
    <w:p>
      <w:pPr>
        <w:pStyle w:val="2"/>
        <w:rPr>
          <w:rFonts w:ascii="仿宋" w:hAnsi="仿宋" w:eastAsia="仿宋"/>
          <w:b/>
          <w:sz w:val="24"/>
        </w:rPr>
      </w:pPr>
    </w:p>
    <w:p>
      <w:pPr>
        <w:pStyle w:val="2"/>
        <w:rPr>
          <w:rFonts w:ascii="仿宋" w:hAnsi="仿宋" w:eastAsia="仿宋"/>
          <w:b/>
          <w:sz w:val="24"/>
        </w:rPr>
      </w:pPr>
    </w:p>
    <w:p>
      <w:pPr>
        <w:pStyle w:val="2"/>
        <w:rPr>
          <w:rFonts w:ascii="仿宋" w:hAnsi="仿宋" w:eastAsia="仿宋"/>
          <w:b/>
          <w:sz w:val="24"/>
        </w:rPr>
      </w:pPr>
    </w:p>
    <w:p>
      <w:pPr>
        <w:pStyle w:val="2"/>
        <w:rPr>
          <w:rFonts w:ascii="仿宋" w:hAnsi="仿宋" w:eastAsia="仿宋"/>
          <w:b/>
          <w:sz w:val="24"/>
        </w:rPr>
      </w:pPr>
    </w:p>
    <w:p>
      <w:pPr>
        <w:pStyle w:val="2"/>
        <w:rPr>
          <w:rFonts w:ascii="仿宋" w:hAnsi="仿宋" w:eastAsia="仿宋"/>
          <w:b/>
          <w:sz w:val="24"/>
        </w:rPr>
      </w:pPr>
    </w:p>
    <w:p>
      <w:pPr>
        <w:pStyle w:val="2"/>
        <w:rPr>
          <w:rFonts w:ascii="仿宋" w:hAnsi="仿宋" w:eastAsia="仿宋"/>
          <w:b/>
          <w:sz w:val="24"/>
        </w:rPr>
      </w:pPr>
    </w:p>
    <w:p>
      <w:pPr>
        <w:pStyle w:val="2"/>
        <w:rPr>
          <w:rFonts w:ascii="仿宋" w:hAnsi="仿宋" w:eastAsia="仿宋"/>
          <w:b/>
          <w:sz w:val="24"/>
        </w:rPr>
      </w:pPr>
    </w:p>
    <w:p>
      <w:pPr>
        <w:pStyle w:val="2"/>
        <w:rPr>
          <w:rFonts w:ascii="仿宋" w:hAnsi="仿宋" w:eastAsia="仿宋"/>
          <w:b/>
          <w:sz w:val="24"/>
        </w:rPr>
      </w:pPr>
    </w:p>
    <w:p>
      <w:pPr>
        <w:pStyle w:val="2"/>
        <w:rPr>
          <w:rFonts w:ascii="仿宋" w:hAnsi="仿宋" w:eastAsia="仿宋"/>
          <w:b/>
          <w:sz w:val="24"/>
        </w:rPr>
      </w:pPr>
    </w:p>
    <w:p>
      <w:pPr>
        <w:pStyle w:val="2"/>
        <w:rPr>
          <w:rFonts w:ascii="仿宋" w:hAnsi="仿宋" w:eastAsia="仿宋"/>
          <w:b/>
          <w:sz w:val="24"/>
        </w:rPr>
      </w:pPr>
    </w:p>
    <w:p>
      <w:pPr>
        <w:pStyle w:val="2"/>
        <w:rPr>
          <w:rFonts w:ascii="仿宋" w:hAnsi="仿宋" w:eastAsia="仿宋"/>
          <w:b/>
          <w:sz w:val="24"/>
        </w:rPr>
      </w:pPr>
    </w:p>
    <w:p>
      <w:pPr>
        <w:pStyle w:val="2"/>
        <w:rPr>
          <w:rFonts w:ascii="仿宋" w:hAnsi="仿宋" w:eastAsia="仿宋"/>
          <w:b/>
          <w:sz w:val="24"/>
        </w:rPr>
      </w:pPr>
    </w:p>
    <w:p>
      <w:pPr>
        <w:pStyle w:val="2"/>
        <w:rPr>
          <w:rFonts w:ascii="仿宋" w:hAnsi="仿宋" w:eastAsia="仿宋"/>
          <w:b/>
          <w:sz w:val="24"/>
        </w:rPr>
      </w:pPr>
    </w:p>
    <w:p>
      <w:pPr>
        <w:pStyle w:val="2"/>
        <w:rPr>
          <w:rFonts w:ascii="仿宋" w:hAnsi="仿宋" w:eastAsia="仿宋"/>
          <w:b/>
          <w:sz w:val="24"/>
        </w:rPr>
      </w:pPr>
    </w:p>
    <w:p>
      <w:pPr>
        <w:pStyle w:val="2"/>
        <w:rPr>
          <w:rFonts w:ascii="仿宋" w:hAnsi="仿宋" w:eastAsia="仿宋"/>
          <w:b/>
          <w:sz w:val="24"/>
        </w:rPr>
      </w:pPr>
    </w:p>
    <w:p>
      <w:pPr>
        <w:pStyle w:val="2"/>
        <w:rPr>
          <w:rFonts w:ascii="仿宋" w:hAnsi="仿宋" w:eastAsia="仿宋"/>
          <w:b/>
          <w:sz w:val="24"/>
        </w:rPr>
      </w:pPr>
    </w:p>
    <w:p>
      <w:pPr>
        <w:pStyle w:val="19"/>
        <w:numPr>
          <w:ilvl w:val="0"/>
          <w:numId w:val="1"/>
        </w:numPr>
        <w:rPr>
          <w:rFonts w:ascii="仿宋" w:hAnsi="仿宋" w:eastAsia="仿宋"/>
        </w:rPr>
      </w:pPr>
      <w:bookmarkStart w:id="131" w:name="_Toc20892"/>
      <w:bookmarkStart w:id="132" w:name="_Toc4510"/>
      <w:bookmarkStart w:id="133" w:name="_Toc20178"/>
      <w:bookmarkStart w:id="134" w:name="_Toc10902"/>
      <w:bookmarkStart w:id="135" w:name="_Toc1699"/>
      <w:bookmarkStart w:id="136" w:name="_Toc26738"/>
      <w:bookmarkStart w:id="137" w:name="_Toc15035"/>
      <w:bookmarkStart w:id="138" w:name="_Toc13279"/>
      <w:bookmarkStart w:id="139" w:name="_Toc20072"/>
      <w:bookmarkStart w:id="140" w:name="_Toc25470"/>
      <w:bookmarkStart w:id="141" w:name="_Toc16137"/>
      <w:r>
        <w:rPr>
          <w:rFonts w:hint="eastAsia" w:ascii="仿宋" w:hAnsi="仿宋" w:eastAsia="仿宋"/>
        </w:rPr>
        <w:t>个人投资者行为指引</w:t>
      </w:r>
      <w:bookmarkEnd w:id="131"/>
      <w:bookmarkEnd w:id="132"/>
      <w:bookmarkEnd w:id="133"/>
      <w:bookmarkEnd w:id="134"/>
      <w:bookmarkEnd w:id="135"/>
      <w:bookmarkEnd w:id="136"/>
      <w:bookmarkEnd w:id="137"/>
      <w:bookmarkEnd w:id="138"/>
      <w:bookmarkEnd w:id="139"/>
      <w:bookmarkEnd w:id="140"/>
      <w:bookmarkEnd w:id="141"/>
    </w:p>
    <w:p>
      <w:pPr>
        <w:spacing w:line="360" w:lineRule="auto"/>
        <w:rPr>
          <w:rFonts w:ascii="仿宋" w:hAnsi="仿宋" w:eastAsia="仿宋"/>
          <w:b/>
          <w:sz w:val="28"/>
          <w:szCs w:val="28"/>
        </w:rPr>
      </w:pPr>
    </w:p>
    <w:p>
      <w:pPr>
        <w:spacing w:line="360" w:lineRule="auto"/>
        <w:ind w:firstLine="616" w:firstLineChars="257"/>
        <w:rPr>
          <w:rFonts w:ascii="仿宋" w:hAnsi="仿宋" w:eastAsia="仿宋"/>
          <w:sz w:val="24"/>
        </w:rPr>
      </w:pPr>
      <w:r>
        <w:rPr>
          <w:rFonts w:hint="eastAsia" w:ascii="仿宋" w:hAnsi="仿宋" w:eastAsia="仿宋"/>
          <w:sz w:val="24"/>
        </w:rPr>
        <w:t>第一条  投资者应当不断增强理性投资意识，提高对证券投资风险的防范控制能力，合法参与证券交易，并通过合法途径维护自身权益。</w:t>
      </w:r>
    </w:p>
    <w:p>
      <w:pPr>
        <w:spacing w:line="360" w:lineRule="auto"/>
        <w:ind w:firstLine="616" w:firstLineChars="257"/>
        <w:rPr>
          <w:rFonts w:ascii="仿宋" w:hAnsi="仿宋" w:eastAsia="仿宋"/>
          <w:sz w:val="24"/>
        </w:rPr>
      </w:pPr>
      <w:r>
        <w:rPr>
          <w:rFonts w:hint="eastAsia" w:ascii="仿宋" w:hAnsi="仿宋" w:eastAsia="仿宋"/>
          <w:sz w:val="24"/>
        </w:rPr>
        <w:t>第二条  投资者应当充分理解并遵守证券市场“买者自负”原则。</w:t>
      </w:r>
    </w:p>
    <w:p>
      <w:pPr>
        <w:spacing w:line="360" w:lineRule="auto"/>
        <w:ind w:firstLine="616" w:firstLineChars="257"/>
        <w:rPr>
          <w:rFonts w:ascii="仿宋" w:hAnsi="仿宋" w:eastAsia="仿宋"/>
          <w:sz w:val="24"/>
        </w:rPr>
      </w:pPr>
      <w:r>
        <w:rPr>
          <w:rFonts w:hint="eastAsia" w:ascii="仿宋" w:hAnsi="仿宋" w:eastAsia="仿宋"/>
          <w:sz w:val="24"/>
        </w:rPr>
        <w:t>投资者参与证券交易，应当根据相关市场信息理性判断、自主决策，并自行承担交易后果。</w:t>
      </w:r>
    </w:p>
    <w:p>
      <w:pPr>
        <w:spacing w:line="360" w:lineRule="auto"/>
        <w:ind w:firstLine="616" w:firstLineChars="257"/>
        <w:rPr>
          <w:rFonts w:ascii="仿宋" w:hAnsi="仿宋" w:eastAsia="仿宋"/>
          <w:sz w:val="24"/>
        </w:rPr>
      </w:pPr>
      <w:r>
        <w:rPr>
          <w:rFonts w:hint="eastAsia" w:ascii="仿宋" w:hAnsi="仿宋" w:eastAsia="仿宋"/>
          <w:sz w:val="24"/>
        </w:rPr>
        <w:t>第三条  投资者参与证券交易前，应当掌握证券市场基本知识、相关法律法规和交易所相关业务规则，充分了解证券交易风险，掌握必要的风险防范和化解技巧。</w:t>
      </w:r>
    </w:p>
    <w:p>
      <w:pPr>
        <w:spacing w:line="360" w:lineRule="auto"/>
        <w:ind w:firstLine="616" w:firstLineChars="257"/>
        <w:rPr>
          <w:rFonts w:ascii="仿宋" w:hAnsi="仿宋" w:eastAsia="仿宋"/>
          <w:sz w:val="24"/>
        </w:rPr>
      </w:pPr>
      <w:r>
        <w:rPr>
          <w:rFonts w:hint="eastAsia" w:ascii="仿宋" w:hAnsi="仿宋" w:eastAsia="仿宋"/>
          <w:sz w:val="24"/>
        </w:rPr>
        <w:t>第四条  投资者参与证券交易，应当保证其资金来源合法。</w:t>
      </w:r>
    </w:p>
    <w:p>
      <w:pPr>
        <w:spacing w:line="360" w:lineRule="auto"/>
        <w:ind w:firstLine="616" w:firstLineChars="257"/>
        <w:rPr>
          <w:rFonts w:ascii="仿宋" w:hAnsi="仿宋" w:eastAsia="仿宋"/>
          <w:sz w:val="24"/>
        </w:rPr>
      </w:pPr>
      <w:r>
        <w:rPr>
          <w:rFonts w:hint="eastAsia" w:ascii="仿宋" w:hAnsi="仿宋" w:eastAsia="仿宋"/>
          <w:sz w:val="24"/>
        </w:rPr>
        <w:t>第五条  投资者与具有交易所会员资格的证券公司签署证券交易委托代理协议时，应当了解受托证券公司资质情况、仔细阅读协议条款，并根据要求签署相关风险揭示文件。</w:t>
      </w:r>
    </w:p>
    <w:p>
      <w:pPr>
        <w:spacing w:line="360" w:lineRule="auto"/>
        <w:ind w:firstLine="616" w:firstLineChars="257"/>
        <w:rPr>
          <w:rFonts w:ascii="仿宋" w:hAnsi="仿宋" w:eastAsia="仿宋"/>
          <w:sz w:val="24"/>
        </w:rPr>
      </w:pPr>
      <w:r>
        <w:rPr>
          <w:rFonts w:hint="eastAsia" w:ascii="仿宋" w:hAnsi="仿宋" w:eastAsia="仿宋"/>
          <w:sz w:val="24"/>
        </w:rPr>
        <w:t>第六条  投资者参与证券交易前，应当结合自身的家庭情况、收入状况、投资目的及知识结构等因素，合理评估自身的产品认知能力与风险承受能力，理性选择合适的投资方式、投资品种、投资时机。</w:t>
      </w:r>
    </w:p>
    <w:p>
      <w:pPr>
        <w:spacing w:line="360" w:lineRule="auto"/>
        <w:ind w:firstLine="616" w:firstLineChars="257"/>
        <w:rPr>
          <w:rFonts w:ascii="仿宋" w:hAnsi="仿宋" w:eastAsia="仿宋"/>
          <w:sz w:val="24"/>
        </w:rPr>
      </w:pPr>
      <w:r>
        <w:rPr>
          <w:rFonts w:hint="eastAsia" w:ascii="仿宋" w:hAnsi="仿宋" w:eastAsia="仿宋"/>
          <w:sz w:val="24"/>
        </w:rPr>
        <w:t>第七条  投资者应当真实、准确、完整地向受托证券公司提供有关其知识结构、资信状况、交易习惯、证券投资经验等方面的个人信息，配合受托证券公司对其风险承受能力作出客观评估，以便受托证券公司对其进行分类管理。</w:t>
      </w:r>
    </w:p>
    <w:p>
      <w:pPr>
        <w:spacing w:line="360" w:lineRule="auto"/>
        <w:ind w:firstLine="616" w:firstLineChars="257"/>
        <w:rPr>
          <w:rFonts w:ascii="仿宋" w:hAnsi="仿宋" w:eastAsia="仿宋"/>
          <w:sz w:val="24"/>
        </w:rPr>
      </w:pPr>
      <w:r>
        <w:rPr>
          <w:rFonts w:hint="eastAsia" w:ascii="仿宋" w:hAnsi="仿宋" w:eastAsia="仿宋"/>
          <w:sz w:val="24"/>
        </w:rPr>
        <w:t>第八条  投资者应当积极参加交易所或受托证券公司组织的投资者培训，详细了解并掌握有关证券产品的特点、风险、交易规则等信息。</w:t>
      </w:r>
    </w:p>
    <w:p>
      <w:pPr>
        <w:spacing w:line="360" w:lineRule="auto"/>
        <w:ind w:firstLine="616" w:firstLineChars="257"/>
        <w:rPr>
          <w:rFonts w:ascii="仿宋" w:hAnsi="仿宋" w:eastAsia="仿宋"/>
          <w:sz w:val="24"/>
        </w:rPr>
      </w:pPr>
      <w:r>
        <w:rPr>
          <w:rFonts w:hint="eastAsia" w:ascii="仿宋" w:hAnsi="仿宋" w:eastAsia="仿宋"/>
          <w:sz w:val="24"/>
        </w:rPr>
        <w:t>第九条  投资者参与高风险证券产品交易或业务前，应当充分认识其特殊风险和交易规则，书面签署相关风险揭示文件。</w:t>
      </w:r>
    </w:p>
    <w:p>
      <w:pPr>
        <w:spacing w:line="360" w:lineRule="auto"/>
        <w:ind w:firstLine="616" w:firstLineChars="257"/>
        <w:rPr>
          <w:rFonts w:ascii="仿宋" w:hAnsi="仿宋" w:eastAsia="仿宋"/>
          <w:sz w:val="24"/>
        </w:rPr>
      </w:pPr>
      <w:r>
        <w:rPr>
          <w:rFonts w:hint="eastAsia" w:ascii="仿宋" w:hAnsi="仿宋" w:eastAsia="仿宋"/>
          <w:sz w:val="24"/>
        </w:rPr>
        <w:t>第十条  投资者参与交易所设立合格投资者制度的产品或业务前，应当根据交易所要求，通过相关测试或认证，取得相应的合格个人投资者资格。</w:t>
      </w:r>
    </w:p>
    <w:p>
      <w:pPr>
        <w:spacing w:line="360" w:lineRule="auto"/>
        <w:ind w:firstLine="616" w:firstLineChars="257"/>
        <w:rPr>
          <w:rFonts w:ascii="仿宋" w:hAnsi="仿宋" w:eastAsia="仿宋"/>
          <w:sz w:val="24"/>
        </w:rPr>
      </w:pPr>
      <w:r>
        <w:rPr>
          <w:rFonts w:hint="eastAsia" w:ascii="仿宋" w:hAnsi="仿宋" w:eastAsia="仿宋"/>
          <w:sz w:val="24"/>
        </w:rPr>
        <w:t>第十一条  投资者参与特定证券产品交易前，应当认真阅读其上市公告书、上市公司财务会计报表等公开资料，全面了解该证券产品相关信息。</w:t>
      </w:r>
    </w:p>
    <w:p>
      <w:pPr>
        <w:spacing w:line="360" w:lineRule="auto"/>
        <w:ind w:firstLine="616" w:firstLineChars="257"/>
        <w:rPr>
          <w:rFonts w:ascii="仿宋" w:hAnsi="仿宋" w:eastAsia="仿宋"/>
          <w:sz w:val="24"/>
        </w:rPr>
      </w:pPr>
      <w:r>
        <w:rPr>
          <w:rFonts w:hint="eastAsia" w:ascii="仿宋" w:hAnsi="仿宋" w:eastAsia="仿宋"/>
          <w:sz w:val="24"/>
        </w:rPr>
        <w:t>第十二条  投资者应当通过中国证监会指定的证券信息披露媒体或者其他相关权威媒体，获取证券市场相关信息。</w:t>
      </w:r>
    </w:p>
    <w:p>
      <w:pPr>
        <w:spacing w:line="360" w:lineRule="auto"/>
        <w:ind w:firstLine="616" w:firstLineChars="257"/>
        <w:rPr>
          <w:rFonts w:ascii="仿宋" w:hAnsi="仿宋" w:eastAsia="仿宋"/>
          <w:sz w:val="24"/>
        </w:rPr>
      </w:pPr>
      <w:r>
        <w:rPr>
          <w:rFonts w:hint="eastAsia" w:ascii="仿宋" w:hAnsi="仿宋" w:eastAsia="仿宋"/>
          <w:sz w:val="24"/>
        </w:rPr>
        <w:t>第十三条  投资者可以通过交易所网站或公众咨询服务热线，获取交易所提供的证券交易知识、信息、技术等方面的服务。</w:t>
      </w:r>
    </w:p>
    <w:p>
      <w:pPr>
        <w:spacing w:line="360" w:lineRule="auto"/>
        <w:ind w:firstLine="616" w:firstLineChars="257"/>
        <w:rPr>
          <w:rFonts w:ascii="仿宋" w:hAnsi="仿宋" w:eastAsia="仿宋"/>
          <w:sz w:val="24"/>
        </w:rPr>
      </w:pPr>
      <w:r>
        <w:rPr>
          <w:rFonts w:hint="eastAsia" w:ascii="仿宋" w:hAnsi="仿宋" w:eastAsia="仿宋"/>
          <w:sz w:val="24"/>
        </w:rPr>
        <w:t>第十四条  投资者应当提高自我保护意识，防范信息欺诈，不偏信盲从通过非正常渠道传播的各类传闻。</w:t>
      </w:r>
    </w:p>
    <w:p>
      <w:pPr>
        <w:spacing w:line="360" w:lineRule="auto"/>
        <w:ind w:firstLine="616" w:firstLineChars="257"/>
        <w:rPr>
          <w:rFonts w:ascii="仿宋" w:hAnsi="仿宋" w:eastAsia="仿宋"/>
          <w:sz w:val="24"/>
        </w:rPr>
      </w:pPr>
      <w:r>
        <w:rPr>
          <w:rFonts w:hint="eastAsia" w:ascii="仿宋" w:hAnsi="仿宋" w:eastAsia="仿宋"/>
          <w:sz w:val="24"/>
        </w:rPr>
        <w:t>第十五条  投资者不得从事内幕交易、操纵市场等法律法规及交易所业务规则禁止的证券交易行为。</w:t>
      </w:r>
    </w:p>
    <w:p>
      <w:pPr>
        <w:spacing w:line="360" w:lineRule="auto"/>
        <w:ind w:firstLine="616" w:firstLineChars="257"/>
        <w:rPr>
          <w:rFonts w:ascii="仿宋" w:hAnsi="仿宋" w:eastAsia="仿宋"/>
          <w:sz w:val="24"/>
        </w:rPr>
      </w:pPr>
      <w:r>
        <w:rPr>
          <w:rFonts w:hint="eastAsia" w:ascii="仿宋" w:hAnsi="仿宋" w:eastAsia="仿宋"/>
          <w:sz w:val="24"/>
        </w:rPr>
        <w:t>第十六条  投资者发生异常交易行为，被交易所限制交易或列为监管关注账户的，交易所将要求其受托证券公司予以重点监控。</w:t>
      </w:r>
    </w:p>
    <w:p>
      <w:pPr>
        <w:spacing w:line="360" w:lineRule="auto"/>
        <w:ind w:firstLine="616" w:firstLineChars="257"/>
        <w:rPr>
          <w:rFonts w:ascii="仿宋" w:hAnsi="仿宋" w:eastAsia="仿宋"/>
          <w:sz w:val="24"/>
        </w:rPr>
      </w:pPr>
      <w:r>
        <w:rPr>
          <w:rFonts w:hint="eastAsia" w:ascii="仿宋" w:hAnsi="仿宋" w:eastAsia="仿宋"/>
          <w:sz w:val="24"/>
        </w:rPr>
        <w:t>第十七条  投资者应当积极配合交易所证券交易监管工作，接受交易所根据有关法律法规和交易所业务规则进行的调查，真实、准确、完整地提供相关资料。</w:t>
      </w:r>
    </w:p>
    <w:p>
      <w:pPr>
        <w:spacing w:line="360" w:lineRule="auto"/>
        <w:ind w:firstLine="616" w:firstLineChars="257"/>
        <w:rPr>
          <w:rFonts w:ascii="仿宋" w:hAnsi="仿宋" w:eastAsia="仿宋"/>
          <w:sz w:val="24"/>
        </w:rPr>
      </w:pPr>
      <w:r>
        <w:rPr>
          <w:rFonts w:hint="eastAsia" w:ascii="仿宋" w:hAnsi="仿宋" w:eastAsia="仿宋"/>
          <w:sz w:val="24"/>
        </w:rPr>
        <w:t>第十八条  投资者遇有其他市场参与人在证券交易中实施不当行为，侵害其合法权益的，可以通过司法诉讼等合法途径寻求法律救济。</w:t>
      </w:r>
    </w:p>
    <w:p>
      <w:pPr>
        <w:spacing w:line="360" w:lineRule="auto"/>
        <w:ind w:firstLine="616" w:firstLineChars="257"/>
        <w:rPr>
          <w:rFonts w:ascii="仿宋" w:hAnsi="仿宋" w:eastAsia="仿宋"/>
          <w:sz w:val="24"/>
        </w:rPr>
      </w:pPr>
      <w:r>
        <w:rPr>
          <w:rFonts w:hint="eastAsia" w:ascii="仿宋" w:hAnsi="仿宋" w:eastAsia="仿宋"/>
          <w:sz w:val="24"/>
        </w:rPr>
        <w:t>第十九条  投资者维护自身权益时应当遵守法律法规的相关规定，不得侵害国家、社会、集体利益和他人合法权益，不得扰乱社会公共秩序和交易所等有关单位的工作秩序。</w:t>
      </w:r>
    </w:p>
    <w:p>
      <w:pPr>
        <w:spacing w:line="360" w:lineRule="auto"/>
        <w:ind w:firstLine="616" w:firstLineChars="257"/>
        <w:rPr>
          <w:rFonts w:ascii="仿宋" w:hAnsi="仿宋" w:eastAsia="仿宋" w:cs="仿宋_GB2312"/>
          <w:sz w:val="24"/>
        </w:rPr>
      </w:pPr>
      <w:r>
        <w:rPr>
          <w:rFonts w:hint="eastAsia" w:ascii="仿宋" w:hAnsi="仿宋" w:eastAsia="仿宋"/>
          <w:sz w:val="24"/>
        </w:rPr>
        <w:t>第二十条  投资者实施不正当行为，扰乱社会公共秩序或有关单位工作秩序的，交易所可通报其受托证券公司对其证券交易账户予以特别关注，并可依据相关规则，采取取消其特定证券产品或业务合格个人投资者资格等处理措施。投资者证券交易及相关行为涉嫌违法的，交易所、证券公司等可提请有关机关依法追究其行政、刑事责任。</w:t>
      </w:r>
    </w:p>
    <w:p>
      <w:pPr>
        <w:tabs>
          <w:tab w:val="left" w:pos="2282"/>
        </w:tabs>
        <w:spacing w:line="360" w:lineRule="auto"/>
        <w:rPr>
          <w:rFonts w:ascii="仿宋" w:hAnsi="仿宋" w:eastAsia="仿宋" w:cs="仿宋_GB2312"/>
          <w:sz w:val="24"/>
        </w:rPr>
      </w:pPr>
    </w:p>
    <w:p>
      <w:pPr>
        <w:spacing w:line="360" w:lineRule="auto"/>
        <w:ind w:firstLine="472" w:firstLineChars="196"/>
        <w:rPr>
          <w:rFonts w:ascii="仿宋" w:hAnsi="仿宋" w:eastAsia="仿宋"/>
          <w:b/>
          <w:sz w:val="24"/>
        </w:rPr>
      </w:pPr>
      <w:r>
        <w:rPr>
          <w:rFonts w:hint="eastAsia" w:ascii="仿宋" w:hAnsi="仿宋" w:eastAsia="仿宋"/>
          <w:b/>
          <w:sz w:val="24"/>
        </w:rPr>
        <w:t>本投资者确认已详细阅读并完全理解了上述《客户须知》、《</w:t>
      </w:r>
      <w:r>
        <w:rPr>
          <w:rFonts w:hint="eastAsia" w:ascii="仿宋" w:hAnsi="仿宋" w:eastAsia="仿宋" w:cs="黑体"/>
          <w:b/>
          <w:bCs/>
          <w:kern w:val="0"/>
          <w:sz w:val="24"/>
        </w:rPr>
        <w:t>证券交易委托风险揭示书》、《</w:t>
      </w:r>
      <w:r>
        <w:rPr>
          <w:rFonts w:hint="eastAsia" w:ascii="仿宋" w:hAnsi="仿宋" w:eastAsia="仿宋"/>
          <w:b/>
          <w:sz w:val="24"/>
        </w:rPr>
        <w:t>中银证券服务和产品消费告知书》、《网上自助委托风险揭示书》、《个人投资者行为指引》、《上海证券交易所主板投资风险揭示书》、《深圳证券交易所主板投资风险揭示书》等内容，</w:t>
      </w:r>
      <w:r>
        <w:rPr>
          <w:rFonts w:hint="eastAsia" w:ascii="仿宋" w:hAnsi="仿宋" w:eastAsia="仿宋" w:cs="AdobeSongStd-Light"/>
          <w:b/>
          <w:kern w:val="0"/>
          <w:sz w:val="24"/>
        </w:rPr>
        <w:t>无论证券投资的结果是盈利还是亏损均由本投资者自行承担。</w:t>
      </w:r>
    </w:p>
    <w:p>
      <w:pPr>
        <w:pStyle w:val="19"/>
        <w:outlineLvl w:val="9"/>
        <w:rPr>
          <w:rFonts w:ascii="仿宋" w:hAnsi="仿宋" w:eastAsia="仿宋"/>
          <w:kern w:val="0"/>
        </w:rPr>
      </w:pPr>
      <w:bookmarkStart w:id="142" w:name="_Toc358017131"/>
    </w:p>
    <w:p>
      <w:pPr>
        <w:pStyle w:val="19"/>
        <w:outlineLvl w:val="9"/>
        <w:rPr>
          <w:rFonts w:ascii="仿宋" w:hAnsi="仿宋" w:eastAsia="仿宋"/>
          <w:kern w:val="0"/>
        </w:rPr>
      </w:pPr>
    </w:p>
    <w:p>
      <w:pPr>
        <w:pStyle w:val="19"/>
        <w:outlineLvl w:val="9"/>
        <w:rPr>
          <w:rFonts w:ascii="仿宋" w:hAnsi="仿宋" w:eastAsia="仿宋"/>
          <w:kern w:val="0"/>
        </w:rPr>
      </w:pPr>
    </w:p>
    <w:p>
      <w:pPr>
        <w:pStyle w:val="19"/>
        <w:outlineLvl w:val="9"/>
        <w:rPr>
          <w:rFonts w:ascii="仿宋" w:hAnsi="仿宋" w:eastAsia="仿宋"/>
          <w:kern w:val="0"/>
        </w:rPr>
      </w:pPr>
    </w:p>
    <w:bookmarkEnd w:id="142"/>
    <w:p>
      <w:pPr>
        <w:widowControl/>
        <w:jc w:val="left"/>
        <w:rPr>
          <w:rFonts w:ascii="仿宋" w:hAnsi="仿宋" w:eastAsia="仿宋"/>
          <w:b/>
          <w:sz w:val="28"/>
          <w:szCs w:val="28"/>
        </w:rPr>
      </w:pPr>
      <w:r>
        <w:rPr>
          <w:rFonts w:ascii="仿宋" w:hAnsi="仿宋" w:eastAsia="仿宋" w:cs="华文中宋"/>
          <w:b/>
          <w:bCs/>
          <w:kern w:val="0"/>
          <w:sz w:val="24"/>
        </w:rPr>
        <w:br w:type="page"/>
      </w:r>
    </w:p>
    <w:p>
      <w:pPr>
        <w:pStyle w:val="19"/>
        <w:numPr>
          <w:ilvl w:val="0"/>
          <w:numId w:val="1"/>
        </w:numPr>
        <w:spacing w:line="360" w:lineRule="auto"/>
        <w:rPr>
          <w:rFonts w:ascii="仿宋" w:hAnsi="仿宋" w:eastAsia="仿宋"/>
          <w:kern w:val="0"/>
          <w:szCs w:val="21"/>
        </w:rPr>
      </w:pPr>
      <w:bookmarkStart w:id="143" w:name="_Toc29865"/>
      <w:bookmarkStart w:id="144" w:name="_Toc17137"/>
      <w:bookmarkStart w:id="145" w:name="_Toc13366"/>
      <w:bookmarkStart w:id="146" w:name="_Toc30618"/>
      <w:bookmarkStart w:id="147" w:name="_Toc9249"/>
      <w:bookmarkStart w:id="148" w:name="_Toc2903"/>
      <w:bookmarkStart w:id="149" w:name="_Toc15970"/>
      <w:bookmarkStart w:id="150" w:name="_Toc13813"/>
      <w:bookmarkStart w:id="151" w:name="_Toc10872"/>
      <w:bookmarkStart w:id="152" w:name="_Toc22256"/>
      <w:bookmarkStart w:id="153" w:name="_Toc2468"/>
      <w:r>
        <w:rPr>
          <w:rFonts w:hint="eastAsia" w:ascii="仿宋" w:hAnsi="仿宋" w:eastAsia="仿宋"/>
          <w:kern w:val="0"/>
        </w:rPr>
        <w:t>证券投资基金投资人权益须知</w:t>
      </w:r>
      <w:bookmarkEnd w:id="143"/>
      <w:bookmarkEnd w:id="144"/>
      <w:bookmarkEnd w:id="145"/>
      <w:bookmarkEnd w:id="146"/>
      <w:bookmarkEnd w:id="147"/>
      <w:bookmarkEnd w:id="148"/>
      <w:bookmarkEnd w:id="149"/>
      <w:bookmarkEnd w:id="150"/>
      <w:bookmarkEnd w:id="151"/>
      <w:bookmarkEnd w:id="152"/>
      <w:bookmarkEnd w:id="153"/>
      <w:bookmarkStart w:id="154" w:name="_Toc25871"/>
      <w:bookmarkEnd w:id="154"/>
    </w:p>
    <w:p>
      <w:pPr>
        <w:spacing w:line="360" w:lineRule="auto"/>
        <w:rPr>
          <w:rFonts w:ascii="仿宋" w:hAnsi="仿宋" w:eastAsia="仿宋"/>
          <w:kern w:val="0"/>
          <w:sz w:val="24"/>
        </w:rPr>
      </w:pPr>
      <w:r>
        <w:rPr>
          <w:rFonts w:ascii="仿宋" w:hAnsi="仿宋" w:eastAsia="仿宋"/>
          <w:kern w:val="0"/>
          <w:sz w:val="24"/>
        </w:rPr>
        <w:t>尊敬的基金投资人：</w:t>
      </w:r>
    </w:p>
    <w:p>
      <w:pPr>
        <w:spacing w:line="360" w:lineRule="auto"/>
        <w:rPr>
          <w:rFonts w:ascii="仿宋" w:hAnsi="仿宋" w:eastAsia="仿宋"/>
          <w:kern w:val="0"/>
          <w:sz w:val="24"/>
        </w:rPr>
      </w:pPr>
      <w:r>
        <w:rPr>
          <w:rFonts w:ascii="仿宋" w:hAnsi="仿宋" w:eastAsia="仿宋"/>
          <w:kern w:val="0"/>
          <w:sz w:val="24"/>
        </w:rPr>
        <w:t>　　基金投资在获取收益的同时存在投资风险。为了保护您的合法权益，请在投资基金前认真阅读以下内容：</w:t>
      </w:r>
    </w:p>
    <w:p>
      <w:pPr>
        <w:spacing w:line="360" w:lineRule="auto"/>
        <w:rPr>
          <w:rFonts w:ascii="仿宋" w:hAnsi="仿宋" w:eastAsia="仿宋"/>
          <w:kern w:val="0"/>
          <w:sz w:val="24"/>
        </w:rPr>
      </w:pPr>
      <w:r>
        <w:rPr>
          <w:rFonts w:ascii="Arial" w:hAnsi="Arial" w:eastAsia="仿宋"/>
          <w:kern w:val="0"/>
          <w:sz w:val="24"/>
        </w:rPr>
        <w:t> </w:t>
      </w:r>
      <w:r>
        <w:rPr>
          <w:rFonts w:ascii="仿宋" w:hAnsi="仿宋" w:eastAsia="仿宋"/>
          <w:kern w:val="0"/>
          <w:sz w:val="24"/>
        </w:rPr>
        <w:t>一、</w:t>
      </w:r>
      <w:r>
        <w:rPr>
          <w:rFonts w:ascii="Arial" w:hAnsi="Arial" w:eastAsia="仿宋"/>
          <w:kern w:val="0"/>
          <w:sz w:val="24"/>
        </w:rPr>
        <w:t> </w:t>
      </w:r>
      <w:r>
        <w:rPr>
          <w:rFonts w:ascii="仿宋" w:hAnsi="仿宋" w:eastAsia="仿宋"/>
          <w:kern w:val="0"/>
          <w:sz w:val="24"/>
        </w:rPr>
        <w:t>基金的基本知识</w:t>
      </w:r>
      <w:r>
        <w:rPr>
          <w:rFonts w:ascii="Arial" w:hAnsi="Arial" w:eastAsia="仿宋"/>
          <w:kern w:val="0"/>
          <w:sz w:val="24"/>
        </w:rPr>
        <w:t> </w:t>
      </w:r>
      <w:r>
        <w:rPr>
          <w:rFonts w:ascii="仿宋" w:hAnsi="仿宋" w:eastAsia="仿宋"/>
          <w:kern w:val="0"/>
          <w:sz w:val="24"/>
        </w:rPr>
        <w:t xml:space="preserve"> </w:t>
      </w:r>
    </w:p>
    <w:p>
      <w:pPr>
        <w:spacing w:line="360" w:lineRule="auto"/>
        <w:rPr>
          <w:rFonts w:ascii="仿宋" w:hAnsi="仿宋" w:eastAsia="仿宋"/>
          <w:kern w:val="0"/>
          <w:sz w:val="24"/>
        </w:rPr>
      </w:pPr>
      <w:r>
        <w:rPr>
          <w:rFonts w:ascii="仿宋" w:hAnsi="仿宋" w:eastAsia="仿宋"/>
          <w:kern w:val="0"/>
          <w:sz w:val="24"/>
        </w:rPr>
        <w:t>　　（一）什么是基金</w:t>
      </w:r>
    </w:p>
    <w:p>
      <w:pPr>
        <w:spacing w:line="360" w:lineRule="auto"/>
        <w:rPr>
          <w:rFonts w:ascii="仿宋" w:hAnsi="仿宋" w:eastAsia="仿宋"/>
          <w:kern w:val="0"/>
          <w:sz w:val="24"/>
        </w:rPr>
      </w:pPr>
      <w:r>
        <w:rPr>
          <w:rFonts w:ascii="仿宋" w:hAnsi="仿宋" w:eastAsia="仿宋"/>
          <w:kern w:val="0"/>
          <w:sz w:val="24"/>
        </w:rPr>
        <w:t>　　证券投资基金（简称基金）是指通过发售基金份额，将众多投资者的资金集中起来，形成独立财产，由基金托管人托管，基金管理人管理，以投资组合的方法进行证券投资的一种利益共享、风险共担的集合投资方式。</w:t>
      </w:r>
    </w:p>
    <w:p>
      <w:pPr>
        <w:spacing w:line="360" w:lineRule="auto"/>
        <w:rPr>
          <w:rFonts w:ascii="仿宋" w:hAnsi="仿宋" w:eastAsia="仿宋"/>
          <w:kern w:val="0"/>
          <w:sz w:val="24"/>
        </w:rPr>
      </w:pPr>
      <w:r>
        <w:rPr>
          <w:rFonts w:ascii="仿宋" w:hAnsi="仿宋" w:eastAsia="仿宋"/>
          <w:kern w:val="0"/>
          <w:sz w:val="24"/>
        </w:rPr>
        <w:t>　　（二）基金与股票、债券、储蓄存款等其它金融工具的区别</w:t>
      </w:r>
    </w:p>
    <w:tbl>
      <w:tblPr>
        <w:tblStyle w:val="20"/>
        <w:tblW w:w="0" w:type="auto"/>
        <w:tblCellSpacing w:w="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008"/>
        <w:gridCol w:w="2976"/>
        <w:gridCol w:w="1770"/>
        <w:gridCol w:w="1871"/>
        <w:gridCol w:w="1901"/>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70" w:hRule="atLeast"/>
          <w:tblCellSpacing w:w="0" w:type="dxa"/>
        </w:trPr>
        <w:tc>
          <w:tcPr>
            <w:tcW w:w="1008" w:type="dxa"/>
            <w:tcBorders>
              <w:top w:val="outset" w:color="auto" w:sz="6" w:space="0"/>
              <w:left w:val="outset" w:color="auto" w:sz="6" w:space="0"/>
              <w:bottom w:val="outset" w:color="auto" w:sz="6" w:space="0"/>
              <w:right w:val="outset" w:color="auto" w:sz="6" w:space="0"/>
            </w:tcBorders>
            <w:vAlign w:val="center"/>
          </w:tcPr>
          <w:p>
            <w:pPr>
              <w:pStyle w:val="38"/>
              <w:rPr>
                <w:rFonts w:ascii="仿宋" w:hAnsi="仿宋" w:eastAsia="仿宋"/>
                <w:kern w:val="0"/>
                <w:sz w:val="24"/>
              </w:rPr>
            </w:pPr>
          </w:p>
        </w:tc>
        <w:tc>
          <w:tcPr>
            <w:tcW w:w="2976" w:type="dxa"/>
            <w:tcBorders>
              <w:top w:val="outset" w:color="auto" w:sz="6" w:space="0"/>
              <w:left w:val="outset" w:color="auto" w:sz="6" w:space="0"/>
              <w:bottom w:val="outset" w:color="auto" w:sz="6" w:space="0"/>
              <w:right w:val="outset" w:color="auto" w:sz="6" w:space="0"/>
            </w:tcBorders>
            <w:vAlign w:val="center"/>
          </w:tcPr>
          <w:p>
            <w:pPr>
              <w:pStyle w:val="38"/>
              <w:rPr>
                <w:rFonts w:ascii="仿宋" w:hAnsi="仿宋" w:eastAsia="仿宋"/>
                <w:kern w:val="0"/>
                <w:sz w:val="24"/>
              </w:rPr>
            </w:pPr>
            <w:r>
              <w:rPr>
                <w:rFonts w:ascii="仿宋" w:hAnsi="仿宋" w:eastAsia="仿宋"/>
                <w:kern w:val="0"/>
                <w:sz w:val="24"/>
              </w:rPr>
              <w:t>基金</w:t>
            </w:r>
          </w:p>
        </w:tc>
        <w:tc>
          <w:tcPr>
            <w:tcW w:w="0" w:type="auto"/>
            <w:tcBorders>
              <w:top w:val="outset" w:color="auto" w:sz="6" w:space="0"/>
              <w:left w:val="outset" w:color="auto" w:sz="6" w:space="0"/>
              <w:bottom w:val="outset" w:color="auto" w:sz="6" w:space="0"/>
              <w:right w:val="outset" w:color="auto" w:sz="6" w:space="0"/>
            </w:tcBorders>
            <w:vAlign w:val="center"/>
          </w:tcPr>
          <w:p>
            <w:pPr>
              <w:pStyle w:val="38"/>
              <w:rPr>
                <w:rFonts w:ascii="仿宋" w:hAnsi="仿宋" w:eastAsia="仿宋"/>
                <w:kern w:val="0"/>
                <w:sz w:val="24"/>
              </w:rPr>
            </w:pPr>
            <w:r>
              <w:rPr>
                <w:rFonts w:ascii="仿宋" w:hAnsi="仿宋" w:eastAsia="仿宋"/>
                <w:kern w:val="0"/>
                <w:sz w:val="24"/>
              </w:rPr>
              <w:t>股票</w:t>
            </w:r>
          </w:p>
        </w:tc>
        <w:tc>
          <w:tcPr>
            <w:tcW w:w="0" w:type="auto"/>
            <w:tcBorders>
              <w:top w:val="outset" w:color="auto" w:sz="6" w:space="0"/>
              <w:left w:val="outset" w:color="auto" w:sz="6" w:space="0"/>
              <w:bottom w:val="outset" w:color="auto" w:sz="6" w:space="0"/>
              <w:right w:val="outset" w:color="auto" w:sz="6" w:space="0"/>
            </w:tcBorders>
            <w:vAlign w:val="center"/>
          </w:tcPr>
          <w:p>
            <w:pPr>
              <w:pStyle w:val="38"/>
              <w:rPr>
                <w:rFonts w:ascii="仿宋" w:hAnsi="仿宋" w:eastAsia="仿宋"/>
                <w:kern w:val="0"/>
                <w:sz w:val="24"/>
              </w:rPr>
            </w:pPr>
            <w:r>
              <w:rPr>
                <w:rFonts w:ascii="仿宋" w:hAnsi="仿宋" w:eastAsia="仿宋"/>
                <w:kern w:val="0"/>
                <w:sz w:val="24"/>
              </w:rPr>
              <w:t>债券</w:t>
            </w:r>
          </w:p>
        </w:tc>
        <w:tc>
          <w:tcPr>
            <w:tcW w:w="1901" w:type="dxa"/>
            <w:tcBorders>
              <w:top w:val="outset" w:color="auto" w:sz="6" w:space="0"/>
              <w:left w:val="outset" w:color="auto" w:sz="6" w:space="0"/>
              <w:bottom w:val="outset" w:color="auto" w:sz="6" w:space="0"/>
              <w:right w:val="outset" w:color="auto" w:sz="6" w:space="0"/>
            </w:tcBorders>
            <w:vAlign w:val="center"/>
          </w:tcPr>
          <w:p>
            <w:pPr>
              <w:pStyle w:val="38"/>
              <w:rPr>
                <w:rFonts w:ascii="仿宋" w:hAnsi="仿宋" w:eastAsia="仿宋"/>
                <w:kern w:val="0"/>
                <w:sz w:val="24"/>
              </w:rPr>
            </w:pPr>
            <w:r>
              <w:rPr>
                <w:rFonts w:ascii="仿宋" w:hAnsi="仿宋" w:eastAsia="仿宋"/>
                <w:kern w:val="0"/>
                <w:sz w:val="24"/>
              </w:rPr>
              <w:t>银行储蓄存款</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86" w:hRule="atLeast"/>
          <w:tblCellSpacing w:w="0" w:type="dxa"/>
        </w:trPr>
        <w:tc>
          <w:tcPr>
            <w:tcW w:w="1008" w:type="dxa"/>
            <w:tcBorders>
              <w:top w:val="outset" w:color="auto" w:sz="6" w:space="0"/>
              <w:left w:val="outset" w:color="auto" w:sz="6" w:space="0"/>
              <w:bottom w:val="outset" w:color="auto" w:sz="6" w:space="0"/>
              <w:right w:val="outset" w:color="auto" w:sz="6" w:space="0"/>
            </w:tcBorders>
            <w:vAlign w:val="center"/>
          </w:tcPr>
          <w:p>
            <w:pPr>
              <w:pStyle w:val="38"/>
              <w:rPr>
                <w:rFonts w:ascii="仿宋" w:hAnsi="仿宋" w:eastAsia="仿宋"/>
                <w:kern w:val="0"/>
                <w:sz w:val="24"/>
              </w:rPr>
            </w:pPr>
            <w:r>
              <w:rPr>
                <w:rFonts w:ascii="仿宋" w:hAnsi="仿宋" w:eastAsia="仿宋"/>
                <w:kern w:val="0"/>
                <w:sz w:val="24"/>
              </w:rPr>
              <w:t>反映的经济关系不同</w:t>
            </w:r>
          </w:p>
        </w:tc>
        <w:tc>
          <w:tcPr>
            <w:tcW w:w="2976" w:type="dxa"/>
            <w:tcBorders>
              <w:top w:val="outset" w:color="auto" w:sz="6" w:space="0"/>
              <w:left w:val="outset" w:color="auto" w:sz="6" w:space="0"/>
              <w:bottom w:val="outset" w:color="auto" w:sz="6" w:space="0"/>
              <w:right w:val="outset" w:color="auto" w:sz="6" w:space="0"/>
            </w:tcBorders>
            <w:vAlign w:val="center"/>
          </w:tcPr>
          <w:p>
            <w:pPr>
              <w:pStyle w:val="38"/>
              <w:rPr>
                <w:rFonts w:ascii="仿宋" w:hAnsi="仿宋" w:eastAsia="仿宋"/>
                <w:kern w:val="0"/>
                <w:sz w:val="24"/>
              </w:rPr>
            </w:pPr>
            <w:r>
              <w:rPr>
                <w:rFonts w:ascii="仿宋" w:hAnsi="仿宋" w:eastAsia="仿宋"/>
                <w:kern w:val="0"/>
                <w:sz w:val="24"/>
              </w:rPr>
              <w:t>信托关系，是一种受益凭证，投资者购买基金份额后成为基金受益人，基金管理人只是替投资者管理资金，并不承担投资损失风险</w:t>
            </w:r>
          </w:p>
        </w:tc>
        <w:tc>
          <w:tcPr>
            <w:tcW w:w="0" w:type="auto"/>
            <w:tcBorders>
              <w:top w:val="outset" w:color="auto" w:sz="6" w:space="0"/>
              <w:left w:val="outset" w:color="auto" w:sz="6" w:space="0"/>
              <w:bottom w:val="outset" w:color="auto" w:sz="6" w:space="0"/>
              <w:right w:val="outset" w:color="auto" w:sz="6" w:space="0"/>
            </w:tcBorders>
            <w:vAlign w:val="center"/>
          </w:tcPr>
          <w:p>
            <w:pPr>
              <w:pStyle w:val="38"/>
              <w:rPr>
                <w:rFonts w:ascii="仿宋" w:hAnsi="仿宋" w:eastAsia="仿宋"/>
                <w:kern w:val="0"/>
                <w:sz w:val="24"/>
              </w:rPr>
            </w:pPr>
            <w:r>
              <w:rPr>
                <w:rFonts w:ascii="仿宋" w:hAnsi="仿宋" w:eastAsia="仿宋"/>
                <w:kern w:val="0"/>
                <w:sz w:val="24"/>
              </w:rPr>
              <w:t>所有权关系，是一种所有权凭证，投资者购买后成为公司股东</w:t>
            </w:r>
          </w:p>
        </w:tc>
        <w:tc>
          <w:tcPr>
            <w:tcW w:w="0" w:type="auto"/>
            <w:tcBorders>
              <w:top w:val="outset" w:color="auto" w:sz="6" w:space="0"/>
              <w:left w:val="outset" w:color="auto" w:sz="6" w:space="0"/>
              <w:bottom w:val="outset" w:color="auto" w:sz="6" w:space="0"/>
              <w:right w:val="outset" w:color="auto" w:sz="6" w:space="0"/>
            </w:tcBorders>
            <w:vAlign w:val="center"/>
          </w:tcPr>
          <w:p>
            <w:pPr>
              <w:pStyle w:val="38"/>
              <w:rPr>
                <w:rFonts w:ascii="仿宋" w:hAnsi="仿宋" w:eastAsia="仿宋"/>
                <w:kern w:val="0"/>
                <w:sz w:val="24"/>
              </w:rPr>
            </w:pPr>
            <w:r>
              <w:rPr>
                <w:rFonts w:ascii="仿宋" w:hAnsi="仿宋" w:eastAsia="仿宋"/>
                <w:kern w:val="0"/>
                <w:sz w:val="24"/>
              </w:rPr>
              <w:t>债权债务关系，是一种债权凭证，投资者购买后成为该公司债权人</w:t>
            </w:r>
          </w:p>
        </w:tc>
        <w:tc>
          <w:tcPr>
            <w:tcW w:w="1901" w:type="dxa"/>
            <w:tcBorders>
              <w:top w:val="outset" w:color="auto" w:sz="6" w:space="0"/>
              <w:left w:val="outset" w:color="auto" w:sz="6" w:space="0"/>
              <w:bottom w:val="outset" w:color="auto" w:sz="6" w:space="0"/>
              <w:right w:val="outset" w:color="auto" w:sz="6" w:space="0"/>
            </w:tcBorders>
            <w:vAlign w:val="center"/>
          </w:tcPr>
          <w:p>
            <w:pPr>
              <w:pStyle w:val="38"/>
              <w:rPr>
                <w:rFonts w:ascii="仿宋" w:hAnsi="仿宋" w:eastAsia="仿宋"/>
                <w:kern w:val="0"/>
                <w:sz w:val="24"/>
              </w:rPr>
            </w:pPr>
            <w:r>
              <w:rPr>
                <w:rFonts w:ascii="仿宋" w:hAnsi="仿宋" w:eastAsia="仿宋"/>
                <w:kern w:val="0"/>
                <w:sz w:val="24"/>
              </w:rPr>
              <w:t>表现为银行的负债，是一种信用凭证，银行对存款者负有法定的保本付息责任</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25" w:hRule="atLeast"/>
          <w:tblCellSpacing w:w="0" w:type="dxa"/>
        </w:trPr>
        <w:tc>
          <w:tcPr>
            <w:tcW w:w="1008" w:type="dxa"/>
            <w:tcBorders>
              <w:top w:val="outset" w:color="auto" w:sz="6" w:space="0"/>
              <w:left w:val="outset" w:color="auto" w:sz="6" w:space="0"/>
              <w:bottom w:val="outset" w:color="auto" w:sz="6" w:space="0"/>
              <w:right w:val="outset" w:color="auto" w:sz="6" w:space="0"/>
            </w:tcBorders>
            <w:vAlign w:val="center"/>
          </w:tcPr>
          <w:p>
            <w:pPr>
              <w:pStyle w:val="38"/>
              <w:rPr>
                <w:rFonts w:ascii="仿宋" w:hAnsi="仿宋" w:eastAsia="仿宋"/>
                <w:kern w:val="0"/>
                <w:sz w:val="24"/>
              </w:rPr>
            </w:pPr>
            <w:r>
              <w:rPr>
                <w:rFonts w:ascii="仿宋" w:hAnsi="仿宋" w:eastAsia="仿宋"/>
                <w:kern w:val="0"/>
                <w:sz w:val="24"/>
              </w:rPr>
              <w:t>所筹资金的投向不同</w:t>
            </w:r>
          </w:p>
        </w:tc>
        <w:tc>
          <w:tcPr>
            <w:tcW w:w="2976" w:type="dxa"/>
            <w:tcBorders>
              <w:top w:val="outset" w:color="auto" w:sz="6" w:space="0"/>
              <w:left w:val="outset" w:color="auto" w:sz="6" w:space="0"/>
              <w:bottom w:val="outset" w:color="auto" w:sz="6" w:space="0"/>
              <w:right w:val="outset" w:color="auto" w:sz="6" w:space="0"/>
            </w:tcBorders>
            <w:vAlign w:val="center"/>
          </w:tcPr>
          <w:p>
            <w:pPr>
              <w:pStyle w:val="38"/>
              <w:rPr>
                <w:rFonts w:ascii="仿宋" w:hAnsi="仿宋" w:eastAsia="仿宋"/>
                <w:kern w:val="0"/>
                <w:sz w:val="24"/>
              </w:rPr>
            </w:pPr>
            <w:r>
              <w:rPr>
                <w:rFonts w:ascii="仿宋" w:hAnsi="仿宋" w:eastAsia="仿宋"/>
                <w:kern w:val="0"/>
                <w:sz w:val="24"/>
              </w:rPr>
              <w:t>间接投资工具，主要投向股票、债券等有价证券</w:t>
            </w:r>
          </w:p>
        </w:tc>
        <w:tc>
          <w:tcPr>
            <w:tcW w:w="0" w:type="auto"/>
            <w:tcBorders>
              <w:top w:val="outset" w:color="auto" w:sz="6" w:space="0"/>
              <w:left w:val="outset" w:color="auto" w:sz="6" w:space="0"/>
              <w:bottom w:val="outset" w:color="auto" w:sz="6" w:space="0"/>
              <w:right w:val="outset" w:color="auto" w:sz="6" w:space="0"/>
            </w:tcBorders>
            <w:vAlign w:val="center"/>
          </w:tcPr>
          <w:p>
            <w:pPr>
              <w:pStyle w:val="38"/>
              <w:rPr>
                <w:rFonts w:ascii="仿宋" w:hAnsi="仿宋" w:eastAsia="仿宋"/>
                <w:kern w:val="0"/>
                <w:sz w:val="24"/>
              </w:rPr>
            </w:pPr>
            <w:r>
              <w:rPr>
                <w:rFonts w:ascii="仿宋" w:hAnsi="仿宋" w:eastAsia="仿宋"/>
                <w:kern w:val="0"/>
                <w:sz w:val="24"/>
              </w:rPr>
              <w:t>直接投资工具，主要投向实业领域</w:t>
            </w:r>
          </w:p>
        </w:tc>
        <w:tc>
          <w:tcPr>
            <w:tcW w:w="0" w:type="auto"/>
            <w:tcBorders>
              <w:top w:val="outset" w:color="auto" w:sz="6" w:space="0"/>
              <w:left w:val="outset" w:color="auto" w:sz="6" w:space="0"/>
              <w:bottom w:val="outset" w:color="auto" w:sz="6" w:space="0"/>
              <w:right w:val="outset" w:color="auto" w:sz="6" w:space="0"/>
            </w:tcBorders>
            <w:vAlign w:val="center"/>
          </w:tcPr>
          <w:p>
            <w:pPr>
              <w:pStyle w:val="38"/>
              <w:rPr>
                <w:rFonts w:ascii="仿宋" w:hAnsi="仿宋" w:eastAsia="仿宋"/>
                <w:kern w:val="0"/>
                <w:sz w:val="24"/>
              </w:rPr>
            </w:pPr>
            <w:r>
              <w:rPr>
                <w:rFonts w:ascii="仿宋" w:hAnsi="仿宋" w:eastAsia="仿宋"/>
                <w:kern w:val="0"/>
                <w:sz w:val="24"/>
              </w:rPr>
              <w:t>直接投资工具，主要投向实业领域</w:t>
            </w:r>
          </w:p>
        </w:tc>
        <w:tc>
          <w:tcPr>
            <w:tcW w:w="1901" w:type="dxa"/>
            <w:tcBorders>
              <w:top w:val="outset" w:color="auto" w:sz="6" w:space="0"/>
              <w:left w:val="outset" w:color="auto" w:sz="6" w:space="0"/>
              <w:bottom w:val="outset" w:color="auto" w:sz="6" w:space="0"/>
              <w:right w:val="outset" w:color="auto" w:sz="6" w:space="0"/>
            </w:tcBorders>
            <w:vAlign w:val="center"/>
          </w:tcPr>
          <w:p>
            <w:pPr>
              <w:pStyle w:val="38"/>
              <w:rPr>
                <w:rFonts w:ascii="仿宋" w:hAnsi="仿宋" w:eastAsia="仿宋"/>
                <w:kern w:val="0"/>
                <w:sz w:val="24"/>
              </w:rPr>
            </w:pPr>
            <w:r>
              <w:rPr>
                <w:rFonts w:ascii="仿宋" w:hAnsi="仿宋" w:eastAsia="仿宋"/>
                <w:kern w:val="0"/>
                <w:sz w:val="24"/>
              </w:rPr>
              <w:t>间接投资工具，银行负责资金用途和投向</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39" w:hRule="atLeast"/>
          <w:tblCellSpacing w:w="0" w:type="dxa"/>
        </w:trPr>
        <w:tc>
          <w:tcPr>
            <w:tcW w:w="1008" w:type="dxa"/>
            <w:tcBorders>
              <w:top w:val="outset" w:color="auto" w:sz="6" w:space="0"/>
              <w:left w:val="outset" w:color="auto" w:sz="6" w:space="0"/>
              <w:bottom w:val="outset" w:color="auto" w:sz="6" w:space="0"/>
              <w:right w:val="outset" w:color="auto" w:sz="6" w:space="0"/>
            </w:tcBorders>
            <w:vAlign w:val="center"/>
          </w:tcPr>
          <w:p>
            <w:pPr>
              <w:pStyle w:val="38"/>
              <w:rPr>
                <w:rFonts w:ascii="仿宋" w:hAnsi="仿宋" w:eastAsia="仿宋"/>
                <w:kern w:val="0"/>
                <w:sz w:val="24"/>
              </w:rPr>
            </w:pPr>
            <w:r>
              <w:rPr>
                <w:rFonts w:ascii="仿宋" w:hAnsi="仿宋" w:eastAsia="仿宋"/>
                <w:kern w:val="0"/>
                <w:sz w:val="24"/>
              </w:rPr>
              <w:t>投资收益与风险大小不同</w:t>
            </w:r>
          </w:p>
        </w:tc>
        <w:tc>
          <w:tcPr>
            <w:tcW w:w="2976" w:type="dxa"/>
            <w:tcBorders>
              <w:top w:val="outset" w:color="auto" w:sz="6" w:space="0"/>
              <w:left w:val="outset" w:color="auto" w:sz="6" w:space="0"/>
              <w:bottom w:val="outset" w:color="auto" w:sz="6" w:space="0"/>
              <w:right w:val="outset" w:color="auto" w:sz="6" w:space="0"/>
            </w:tcBorders>
            <w:vAlign w:val="center"/>
          </w:tcPr>
          <w:p>
            <w:pPr>
              <w:pStyle w:val="38"/>
              <w:rPr>
                <w:rFonts w:ascii="仿宋" w:hAnsi="仿宋" w:eastAsia="仿宋"/>
                <w:kern w:val="0"/>
                <w:sz w:val="24"/>
              </w:rPr>
            </w:pPr>
            <w:r>
              <w:rPr>
                <w:rFonts w:ascii="仿宋" w:hAnsi="仿宋" w:eastAsia="仿宋"/>
                <w:kern w:val="0"/>
                <w:sz w:val="24"/>
              </w:rPr>
              <w:t>投资于众多有价证券，能有效分散风险，风险相对适中，收益相对稳健</w:t>
            </w:r>
          </w:p>
        </w:tc>
        <w:tc>
          <w:tcPr>
            <w:tcW w:w="0" w:type="auto"/>
            <w:tcBorders>
              <w:top w:val="outset" w:color="auto" w:sz="6" w:space="0"/>
              <w:left w:val="outset" w:color="auto" w:sz="6" w:space="0"/>
              <w:bottom w:val="outset" w:color="auto" w:sz="6" w:space="0"/>
              <w:right w:val="outset" w:color="auto" w:sz="6" w:space="0"/>
            </w:tcBorders>
            <w:vAlign w:val="center"/>
          </w:tcPr>
          <w:p>
            <w:pPr>
              <w:pStyle w:val="38"/>
              <w:rPr>
                <w:rFonts w:ascii="仿宋" w:hAnsi="仿宋" w:eastAsia="仿宋"/>
                <w:kern w:val="0"/>
                <w:sz w:val="24"/>
              </w:rPr>
            </w:pPr>
            <w:r>
              <w:rPr>
                <w:rFonts w:ascii="仿宋" w:hAnsi="仿宋" w:eastAsia="仿宋"/>
                <w:kern w:val="0"/>
                <w:sz w:val="24"/>
              </w:rPr>
              <w:t>价格波动性大，高风险、高收益</w:t>
            </w:r>
          </w:p>
        </w:tc>
        <w:tc>
          <w:tcPr>
            <w:tcW w:w="0" w:type="auto"/>
            <w:tcBorders>
              <w:top w:val="outset" w:color="auto" w:sz="6" w:space="0"/>
              <w:left w:val="outset" w:color="auto" w:sz="6" w:space="0"/>
              <w:bottom w:val="outset" w:color="auto" w:sz="6" w:space="0"/>
              <w:right w:val="outset" w:color="auto" w:sz="6" w:space="0"/>
            </w:tcBorders>
            <w:vAlign w:val="center"/>
          </w:tcPr>
          <w:p>
            <w:pPr>
              <w:pStyle w:val="38"/>
              <w:rPr>
                <w:rFonts w:ascii="仿宋" w:hAnsi="仿宋" w:eastAsia="仿宋"/>
                <w:kern w:val="0"/>
                <w:sz w:val="24"/>
              </w:rPr>
            </w:pPr>
            <w:r>
              <w:rPr>
                <w:rFonts w:ascii="仿宋" w:hAnsi="仿宋" w:eastAsia="仿宋"/>
                <w:kern w:val="0"/>
                <w:sz w:val="24"/>
              </w:rPr>
              <w:t>价格波动较股票小，低风险、低收益</w:t>
            </w:r>
          </w:p>
        </w:tc>
        <w:tc>
          <w:tcPr>
            <w:tcW w:w="1901" w:type="dxa"/>
            <w:tcBorders>
              <w:top w:val="outset" w:color="auto" w:sz="6" w:space="0"/>
              <w:left w:val="outset" w:color="auto" w:sz="6" w:space="0"/>
              <w:bottom w:val="outset" w:color="auto" w:sz="6" w:space="0"/>
              <w:right w:val="outset" w:color="auto" w:sz="6" w:space="0"/>
            </w:tcBorders>
            <w:vAlign w:val="center"/>
          </w:tcPr>
          <w:p>
            <w:pPr>
              <w:pStyle w:val="38"/>
              <w:rPr>
                <w:rFonts w:ascii="仿宋" w:hAnsi="仿宋" w:eastAsia="仿宋"/>
                <w:kern w:val="0"/>
                <w:sz w:val="24"/>
              </w:rPr>
            </w:pPr>
            <w:r>
              <w:rPr>
                <w:rFonts w:ascii="仿宋" w:hAnsi="仿宋" w:eastAsia="仿宋"/>
                <w:kern w:val="0"/>
                <w:sz w:val="24"/>
              </w:rPr>
              <w:t>银行存款利率相对固定，损失本金的可能性很小，投资比较安全</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43" w:hRule="atLeast"/>
          <w:tblCellSpacing w:w="0" w:type="dxa"/>
        </w:trPr>
        <w:tc>
          <w:tcPr>
            <w:tcW w:w="1008" w:type="dxa"/>
            <w:tcBorders>
              <w:top w:val="outset" w:color="auto" w:sz="6" w:space="0"/>
              <w:left w:val="outset" w:color="auto" w:sz="6" w:space="0"/>
              <w:bottom w:val="outset" w:color="auto" w:sz="6" w:space="0"/>
              <w:right w:val="outset" w:color="auto" w:sz="6" w:space="0"/>
            </w:tcBorders>
            <w:vAlign w:val="center"/>
          </w:tcPr>
          <w:p>
            <w:pPr>
              <w:pStyle w:val="38"/>
              <w:rPr>
                <w:rFonts w:ascii="仿宋" w:hAnsi="仿宋" w:eastAsia="仿宋"/>
                <w:kern w:val="0"/>
                <w:sz w:val="24"/>
              </w:rPr>
            </w:pPr>
            <w:r>
              <w:rPr>
                <w:rFonts w:ascii="仿宋" w:hAnsi="仿宋" w:eastAsia="仿宋"/>
                <w:kern w:val="0"/>
                <w:sz w:val="24"/>
              </w:rPr>
              <w:t>收益来源</w:t>
            </w:r>
          </w:p>
        </w:tc>
        <w:tc>
          <w:tcPr>
            <w:tcW w:w="2976" w:type="dxa"/>
            <w:tcBorders>
              <w:top w:val="outset" w:color="auto" w:sz="6" w:space="0"/>
              <w:left w:val="outset" w:color="auto" w:sz="6" w:space="0"/>
              <w:bottom w:val="outset" w:color="auto" w:sz="6" w:space="0"/>
              <w:right w:val="outset" w:color="auto" w:sz="6" w:space="0"/>
            </w:tcBorders>
            <w:vAlign w:val="center"/>
          </w:tcPr>
          <w:p>
            <w:pPr>
              <w:pStyle w:val="38"/>
              <w:rPr>
                <w:rFonts w:ascii="仿宋" w:hAnsi="仿宋" w:eastAsia="仿宋"/>
                <w:kern w:val="0"/>
                <w:sz w:val="24"/>
              </w:rPr>
            </w:pPr>
            <w:r>
              <w:rPr>
                <w:rFonts w:ascii="仿宋" w:hAnsi="仿宋" w:eastAsia="仿宋"/>
                <w:kern w:val="0"/>
                <w:sz w:val="24"/>
              </w:rPr>
              <w:t>利息收入、股利收入、资本利得</w:t>
            </w:r>
          </w:p>
        </w:tc>
        <w:tc>
          <w:tcPr>
            <w:tcW w:w="0" w:type="auto"/>
            <w:tcBorders>
              <w:top w:val="outset" w:color="auto" w:sz="6" w:space="0"/>
              <w:left w:val="outset" w:color="auto" w:sz="6" w:space="0"/>
              <w:bottom w:val="outset" w:color="auto" w:sz="6" w:space="0"/>
              <w:right w:val="outset" w:color="auto" w:sz="6" w:space="0"/>
            </w:tcBorders>
            <w:vAlign w:val="center"/>
          </w:tcPr>
          <w:p>
            <w:pPr>
              <w:pStyle w:val="38"/>
              <w:rPr>
                <w:rFonts w:ascii="仿宋" w:hAnsi="仿宋" w:eastAsia="仿宋"/>
                <w:kern w:val="0"/>
                <w:sz w:val="24"/>
              </w:rPr>
            </w:pPr>
            <w:r>
              <w:rPr>
                <w:rFonts w:ascii="仿宋" w:hAnsi="仿宋" w:eastAsia="仿宋"/>
                <w:kern w:val="0"/>
                <w:sz w:val="24"/>
              </w:rPr>
              <w:t>股利收入、资本利得</w:t>
            </w:r>
          </w:p>
        </w:tc>
        <w:tc>
          <w:tcPr>
            <w:tcW w:w="0" w:type="auto"/>
            <w:tcBorders>
              <w:top w:val="outset" w:color="auto" w:sz="6" w:space="0"/>
              <w:left w:val="outset" w:color="auto" w:sz="6" w:space="0"/>
              <w:bottom w:val="outset" w:color="auto" w:sz="6" w:space="0"/>
              <w:right w:val="outset" w:color="auto" w:sz="6" w:space="0"/>
            </w:tcBorders>
            <w:vAlign w:val="center"/>
          </w:tcPr>
          <w:p>
            <w:pPr>
              <w:pStyle w:val="38"/>
              <w:rPr>
                <w:rFonts w:ascii="仿宋" w:hAnsi="仿宋" w:eastAsia="仿宋"/>
                <w:kern w:val="0"/>
                <w:sz w:val="24"/>
              </w:rPr>
            </w:pPr>
            <w:r>
              <w:rPr>
                <w:rFonts w:ascii="仿宋" w:hAnsi="仿宋" w:eastAsia="仿宋"/>
                <w:kern w:val="0"/>
                <w:sz w:val="24"/>
              </w:rPr>
              <w:t>　利息收入、资本利得</w:t>
            </w:r>
          </w:p>
        </w:tc>
        <w:tc>
          <w:tcPr>
            <w:tcW w:w="1901" w:type="dxa"/>
            <w:tcBorders>
              <w:top w:val="outset" w:color="auto" w:sz="6" w:space="0"/>
              <w:left w:val="outset" w:color="auto" w:sz="6" w:space="0"/>
              <w:bottom w:val="outset" w:color="auto" w:sz="6" w:space="0"/>
              <w:right w:val="outset" w:color="auto" w:sz="6" w:space="0"/>
            </w:tcBorders>
            <w:vAlign w:val="center"/>
          </w:tcPr>
          <w:p>
            <w:pPr>
              <w:pStyle w:val="38"/>
              <w:rPr>
                <w:rFonts w:ascii="仿宋" w:hAnsi="仿宋" w:eastAsia="仿宋"/>
                <w:kern w:val="0"/>
                <w:sz w:val="24"/>
              </w:rPr>
            </w:pPr>
            <w:r>
              <w:rPr>
                <w:rFonts w:ascii="仿宋" w:hAnsi="仿宋" w:eastAsia="仿宋"/>
                <w:kern w:val="0"/>
                <w:sz w:val="24"/>
              </w:rPr>
              <w:t>　　利息收入</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62" w:hRule="atLeast"/>
          <w:tblCellSpacing w:w="0" w:type="dxa"/>
        </w:trPr>
        <w:tc>
          <w:tcPr>
            <w:tcW w:w="1008" w:type="dxa"/>
            <w:tcBorders>
              <w:top w:val="outset" w:color="auto" w:sz="6" w:space="0"/>
              <w:left w:val="outset" w:color="auto" w:sz="6" w:space="0"/>
              <w:bottom w:val="outset" w:color="auto" w:sz="6" w:space="0"/>
              <w:right w:val="outset" w:color="auto" w:sz="6" w:space="0"/>
            </w:tcBorders>
            <w:vAlign w:val="center"/>
          </w:tcPr>
          <w:p>
            <w:pPr>
              <w:pStyle w:val="38"/>
              <w:rPr>
                <w:rFonts w:ascii="仿宋" w:hAnsi="仿宋" w:eastAsia="仿宋"/>
                <w:kern w:val="0"/>
                <w:sz w:val="24"/>
              </w:rPr>
            </w:pPr>
            <w:r>
              <w:rPr>
                <w:rFonts w:ascii="仿宋" w:hAnsi="仿宋" w:eastAsia="仿宋"/>
                <w:kern w:val="0"/>
                <w:sz w:val="24"/>
              </w:rPr>
              <w:t>投资渠道</w:t>
            </w:r>
          </w:p>
        </w:tc>
        <w:tc>
          <w:tcPr>
            <w:tcW w:w="2976" w:type="dxa"/>
            <w:tcBorders>
              <w:top w:val="outset" w:color="auto" w:sz="6" w:space="0"/>
              <w:left w:val="outset" w:color="auto" w:sz="6" w:space="0"/>
              <w:bottom w:val="outset" w:color="auto" w:sz="6" w:space="0"/>
              <w:right w:val="outset" w:color="auto" w:sz="6" w:space="0"/>
            </w:tcBorders>
            <w:vAlign w:val="center"/>
          </w:tcPr>
          <w:p>
            <w:pPr>
              <w:pStyle w:val="38"/>
              <w:rPr>
                <w:rFonts w:ascii="仿宋" w:hAnsi="仿宋" w:eastAsia="仿宋"/>
                <w:kern w:val="0"/>
                <w:sz w:val="24"/>
              </w:rPr>
            </w:pPr>
            <w:r>
              <w:rPr>
                <w:rFonts w:ascii="仿宋" w:hAnsi="仿宋" w:eastAsia="仿宋"/>
                <w:kern w:val="0"/>
                <w:sz w:val="24"/>
              </w:rPr>
              <w:t>基金管理公司及银行、证券公司等代销机构</w:t>
            </w:r>
          </w:p>
        </w:tc>
        <w:tc>
          <w:tcPr>
            <w:tcW w:w="0" w:type="auto"/>
            <w:tcBorders>
              <w:top w:val="outset" w:color="auto" w:sz="6" w:space="0"/>
              <w:left w:val="outset" w:color="auto" w:sz="6" w:space="0"/>
              <w:bottom w:val="outset" w:color="auto" w:sz="6" w:space="0"/>
              <w:right w:val="outset" w:color="auto" w:sz="6" w:space="0"/>
            </w:tcBorders>
            <w:vAlign w:val="center"/>
          </w:tcPr>
          <w:p>
            <w:pPr>
              <w:pStyle w:val="38"/>
              <w:rPr>
                <w:rFonts w:ascii="仿宋" w:hAnsi="仿宋" w:eastAsia="仿宋"/>
                <w:kern w:val="0"/>
                <w:sz w:val="24"/>
              </w:rPr>
            </w:pPr>
            <w:r>
              <w:rPr>
                <w:rFonts w:ascii="仿宋" w:hAnsi="仿宋" w:eastAsia="仿宋"/>
                <w:kern w:val="0"/>
                <w:sz w:val="24"/>
              </w:rPr>
              <w:t>证券公司</w:t>
            </w:r>
          </w:p>
        </w:tc>
        <w:tc>
          <w:tcPr>
            <w:tcW w:w="0" w:type="auto"/>
            <w:tcBorders>
              <w:top w:val="outset" w:color="auto" w:sz="6" w:space="0"/>
              <w:left w:val="outset" w:color="auto" w:sz="6" w:space="0"/>
              <w:bottom w:val="outset" w:color="auto" w:sz="6" w:space="0"/>
              <w:right w:val="outset" w:color="auto" w:sz="6" w:space="0"/>
            </w:tcBorders>
            <w:vAlign w:val="center"/>
          </w:tcPr>
          <w:p>
            <w:pPr>
              <w:pStyle w:val="38"/>
              <w:rPr>
                <w:rFonts w:ascii="仿宋" w:hAnsi="仿宋" w:eastAsia="仿宋"/>
                <w:kern w:val="0"/>
                <w:sz w:val="24"/>
              </w:rPr>
            </w:pPr>
            <w:r>
              <w:rPr>
                <w:rFonts w:ascii="仿宋" w:hAnsi="仿宋" w:eastAsia="仿宋"/>
                <w:kern w:val="0"/>
                <w:sz w:val="24"/>
              </w:rPr>
              <w:t>债券发行机构、证券公司及银行等代销机构</w:t>
            </w:r>
          </w:p>
        </w:tc>
        <w:tc>
          <w:tcPr>
            <w:tcW w:w="1901" w:type="dxa"/>
            <w:tcBorders>
              <w:top w:val="outset" w:color="auto" w:sz="6" w:space="0"/>
              <w:left w:val="outset" w:color="auto" w:sz="6" w:space="0"/>
              <w:bottom w:val="outset" w:color="auto" w:sz="6" w:space="0"/>
              <w:right w:val="outset" w:color="auto" w:sz="6" w:space="0"/>
            </w:tcBorders>
            <w:vAlign w:val="center"/>
          </w:tcPr>
          <w:p>
            <w:pPr>
              <w:pStyle w:val="38"/>
              <w:rPr>
                <w:rFonts w:ascii="仿宋" w:hAnsi="仿宋" w:eastAsia="仿宋"/>
                <w:kern w:val="0"/>
                <w:sz w:val="24"/>
              </w:rPr>
            </w:pPr>
            <w:r>
              <w:rPr>
                <w:rFonts w:ascii="仿宋" w:hAnsi="仿宋" w:eastAsia="仿宋"/>
                <w:kern w:val="0"/>
                <w:sz w:val="24"/>
              </w:rPr>
              <w:t>银行、信用社、邮政储蓄银行</w:t>
            </w:r>
          </w:p>
        </w:tc>
      </w:tr>
    </w:tbl>
    <w:p>
      <w:pPr>
        <w:spacing w:line="360" w:lineRule="auto"/>
        <w:rPr>
          <w:rFonts w:ascii="仿宋" w:hAnsi="仿宋" w:eastAsia="仿宋"/>
          <w:kern w:val="0"/>
          <w:sz w:val="24"/>
        </w:rPr>
      </w:pPr>
      <w:r>
        <w:rPr>
          <w:rFonts w:ascii="仿宋" w:hAnsi="仿宋" w:eastAsia="仿宋"/>
          <w:kern w:val="0"/>
          <w:sz w:val="24"/>
        </w:rPr>
        <w:t>　　（三）基金的分类</w:t>
      </w:r>
    </w:p>
    <w:p>
      <w:pPr>
        <w:spacing w:line="360" w:lineRule="auto"/>
        <w:rPr>
          <w:rFonts w:ascii="仿宋" w:hAnsi="仿宋" w:eastAsia="仿宋"/>
          <w:kern w:val="0"/>
          <w:sz w:val="24"/>
        </w:rPr>
      </w:pPr>
      <w:r>
        <w:rPr>
          <w:rFonts w:ascii="仿宋" w:hAnsi="仿宋" w:eastAsia="仿宋"/>
          <w:kern w:val="0"/>
          <w:sz w:val="24"/>
        </w:rPr>
        <w:t>1、</w:t>
      </w:r>
      <w:r>
        <w:rPr>
          <w:rFonts w:ascii="Arial" w:hAnsi="Arial" w:eastAsia="仿宋"/>
          <w:kern w:val="0"/>
          <w:sz w:val="24"/>
        </w:rPr>
        <w:t> </w:t>
      </w:r>
      <w:r>
        <w:rPr>
          <w:rFonts w:ascii="仿宋" w:hAnsi="仿宋" w:eastAsia="仿宋"/>
          <w:kern w:val="0"/>
          <w:sz w:val="24"/>
        </w:rPr>
        <w:t>依据运作方式的不同，可分为封闭式基金与开放式基金。</w:t>
      </w:r>
    </w:p>
    <w:p>
      <w:pPr>
        <w:spacing w:line="360" w:lineRule="auto"/>
        <w:rPr>
          <w:rFonts w:ascii="仿宋" w:hAnsi="仿宋" w:eastAsia="仿宋"/>
          <w:kern w:val="0"/>
          <w:sz w:val="24"/>
        </w:rPr>
      </w:pPr>
      <w:r>
        <w:rPr>
          <w:rFonts w:ascii="仿宋" w:hAnsi="仿宋" w:eastAsia="仿宋"/>
          <w:kern w:val="0"/>
          <w:sz w:val="24"/>
        </w:rPr>
        <w:t>　　封闭式基金</w:t>
      </w:r>
      <w:r>
        <w:rPr>
          <w:rFonts w:hint="eastAsia" w:ascii="仿宋" w:hAnsi="仿宋" w:eastAsia="仿宋"/>
          <w:kern w:val="0"/>
          <w:sz w:val="24"/>
        </w:rPr>
        <w:t>是指基金份额总额在基金合同期限内固定不变，基金份额持有人不得申请赎回的基金。</w:t>
      </w:r>
    </w:p>
    <w:p>
      <w:pPr>
        <w:spacing w:line="360" w:lineRule="auto"/>
        <w:rPr>
          <w:rFonts w:ascii="仿宋" w:hAnsi="仿宋" w:eastAsia="仿宋"/>
          <w:kern w:val="0"/>
          <w:sz w:val="24"/>
        </w:rPr>
      </w:pPr>
      <w:r>
        <w:rPr>
          <w:rFonts w:ascii="仿宋" w:hAnsi="仿宋" w:eastAsia="仿宋"/>
          <w:kern w:val="0"/>
          <w:sz w:val="24"/>
        </w:rPr>
        <w:t>　　开放式基金</w:t>
      </w:r>
      <w:r>
        <w:rPr>
          <w:rFonts w:hint="eastAsia" w:ascii="仿宋" w:hAnsi="仿宋" w:eastAsia="仿宋"/>
          <w:kern w:val="0"/>
          <w:sz w:val="24"/>
        </w:rPr>
        <w:t>是指基金份额总额不固定，基金份额可以在基金合同约定的时间和场所申购或者赎回的基金。</w:t>
      </w:r>
    </w:p>
    <w:p>
      <w:pPr>
        <w:spacing w:line="360" w:lineRule="auto"/>
        <w:rPr>
          <w:rFonts w:ascii="仿宋" w:hAnsi="仿宋" w:eastAsia="仿宋"/>
          <w:kern w:val="0"/>
          <w:sz w:val="24"/>
        </w:rPr>
      </w:pPr>
      <w:r>
        <w:rPr>
          <w:rFonts w:ascii="仿宋" w:hAnsi="仿宋" w:eastAsia="仿宋"/>
          <w:kern w:val="0"/>
          <w:sz w:val="24"/>
        </w:rPr>
        <w:t>2、</w:t>
      </w:r>
      <w:r>
        <w:rPr>
          <w:rFonts w:ascii="Arial" w:hAnsi="Arial" w:eastAsia="仿宋"/>
          <w:kern w:val="0"/>
          <w:sz w:val="24"/>
        </w:rPr>
        <w:t> </w:t>
      </w:r>
      <w:r>
        <w:rPr>
          <w:rFonts w:ascii="仿宋" w:hAnsi="仿宋" w:eastAsia="仿宋"/>
          <w:kern w:val="0"/>
          <w:sz w:val="24"/>
        </w:rPr>
        <w:t>依据投资对象的不同，可分为股票基金、债券基金、货币市场基金、基金中基金</w:t>
      </w:r>
      <w:r>
        <w:rPr>
          <w:rFonts w:hint="eastAsia" w:ascii="仿宋" w:hAnsi="仿宋" w:eastAsia="仿宋"/>
          <w:kern w:val="0"/>
          <w:sz w:val="24"/>
        </w:rPr>
        <w:t>、</w:t>
      </w:r>
      <w:r>
        <w:rPr>
          <w:rFonts w:ascii="仿宋" w:hAnsi="仿宋" w:eastAsia="仿宋"/>
          <w:kern w:val="0"/>
          <w:sz w:val="24"/>
        </w:rPr>
        <w:t>混合基金。</w:t>
      </w:r>
    </w:p>
    <w:p>
      <w:pPr>
        <w:spacing w:line="360" w:lineRule="auto"/>
        <w:rPr>
          <w:rFonts w:ascii="仿宋" w:hAnsi="仿宋" w:eastAsia="仿宋"/>
          <w:kern w:val="0"/>
          <w:sz w:val="24"/>
        </w:rPr>
      </w:pPr>
      <w:r>
        <w:rPr>
          <w:rFonts w:ascii="仿宋" w:hAnsi="仿宋" w:eastAsia="仿宋"/>
          <w:kern w:val="0"/>
          <w:sz w:val="24"/>
        </w:rPr>
        <w:t>　　根据《证券投资基金运作管理办法》对基金类别的分类标准,80%以上的基金资产投资于股票的为股票基金；80%以上的基金资产投资于债券的为债券基金；仅投资于货币市场工具的为货币市场基金；百分之八十以上的基金资产投资于其他基金份额的，为基金中基金</w:t>
      </w:r>
      <w:r>
        <w:rPr>
          <w:rFonts w:hint="eastAsia" w:ascii="仿宋" w:hAnsi="仿宋" w:eastAsia="仿宋"/>
          <w:kern w:val="0"/>
          <w:sz w:val="24"/>
        </w:rPr>
        <w:t>；</w:t>
      </w:r>
      <w:r>
        <w:rPr>
          <w:rFonts w:ascii="仿宋" w:hAnsi="仿宋" w:eastAsia="仿宋"/>
          <w:kern w:val="0"/>
          <w:sz w:val="24"/>
        </w:rPr>
        <w:t>投资于股票、债券</w:t>
      </w:r>
      <w:r>
        <w:rPr>
          <w:rFonts w:hint="eastAsia" w:ascii="仿宋" w:hAnsi="仿宋" w:eastAsia="仿宋"/>
          <w:kern w:val="0"/>
          <w:sz w:val="24"/>
        </w:rPr>
        <w:t>、</w:t>
      </w:r>
      <w:r>
        <w:rPr>
          <w:rFonts w:ascii="仿宋" w:hAnsi="仿宋" w:eastAsia="仿宋"/>
          <w:kern w:val="0"/>
          <w:sz w:val="24"/>
        </w:rPr>
        <w:t>货币市场工具或其他基金份额，但股票投资</w:t>
      </w:r>
      <w:r>
        <w:rPr>
          <w:rFonts w:hint="eastAsia" w:ascii="仿宋" w:hAnsi="仿宋" w:eastAsia="仿宋"/>
          <w:kern w:val="0"/>
          <w:sz w:val="24"/>
        </w:rPr>
        <w:t>、</w:t>
      </w:r>
      <w:r>
        <w:rPr>
          <w:rFonts w:ascii="仿宋" w:hAnsi="仿宋" w:eastAsia="仿宋"/>
          <w:kern w:val="0"/>
          <w:sz w:val="24"/>
        </w:rPr>
        <w:t>债券投资</w:t>
      </w:r>
      <w:r>
        <w:rPr>
          <w:rFonts w:hint="eastAsia" w:ascii="仿宋" w:hAnsi="仿宋" w:eastAsia="仿宋"/>
          <w:kern w:val="0"/>
          <w:sz w:val="24"/>
        </w:rPr>
        <w:t>和基金投资</w:t>
      </w:r>
      <w:r>
        <w:rPr>
          <w:rFonts w:ascii="仿宋" w:hAnsi="仿宋" w:eastAsia="仿宋"/>
          <w:kern w:val="0"/>
          <w:sz w:val="24"/>
        </w:rPr>
        <w:t>的比例不符合股票基金、债券基金</w:t>
      </w:r>
      <w:r>
        <w:rPr>
          <w:rFonts w:hint="eastAsia" w:ascii="仿宋" w:hAnsi="仿宋" w:eastAsia="仿宋"/>
          <w:kern w:val="0"/>
          <w:sz w:val="24"/>
        </w:rPr>
        <w:t>、基金中基金</w:t>
      </w:r>
      <w:r>
        <w:rPr>
          <w:rFonts w:ascii="仿宋" w:hAnsi="仿宋" w:eastAsia="仿宋"/>
          <w:kern w:val="0"/>
          <w:sz w:val="24"/>
        </w:rPr>
        <w:t>规定的为混合基金。这些基金类别按收益和风险由高到低的排列顺序为：股票基金、混合基金、债券基金、货币市场基金，即股票基金的风险和收益最高，货币市场基金的风险和收益最低。</w:t>
      </w:r>
    </w:p>
    <w:p>
      <w:pPr>
        <w:spacing w:line="360" w:lineRule="auto"/>
        <w:rPr>
          <w:rFonts w:ascii="仿宋" w:hAnsi="仿宋" w:eastAsia="仿宋"/>
          <w:kern w:val="0"/>
          <w:sz w:val="24"/>
        </w:rPr>
      </w:pPr>
      <w:r>
        <w:rPr>
          <w:rFonts w:ascii="仿宋" w:hAnsi="仿宋" w:eastAsia="仿宋"/>
          <w:kern w:val="0"/>
          <w:sz w:val="24"/>
        </w:rPr>
        <w:t>3、</w:t>
      </w:r>
      <w:r>
        <w:rPr>
          <w:rFonts w:ascii="Arial" w:hAnsi="Arial" w:eastAsia="仿宋"/>
          <w:kern w:val="0"/>
          <w:sz w:val="24"/>
        </w:rPr>
        <w:t> </w:t>
      </w:r>
      <w:r>
        <w:rPr>
          <w:rFonts w:ascii="仿宋" w:hAnsi="仿宋" w:eastAsia="仿宋"/>
          <w:kern w:val="0"/>
          <w:sz w:val="24"/>
        </w:rPr>
        <w:t>特殊类型基金</w:t>
      </w:r>
    </w:p>
    <w:p>
      <w:pPr>
        <w:spacing w:line="360" w:lineRule="auto"/>
        <w:rPr>
          <w:rFonts w:ascii="仿宋" w:hAnsi="仿宋" w:eastAsia="仿宋"/>
          <w:kern w:val="0"/>
          <w:sz w:val="24"/>
        </w:rPr>
      </w:pPr>
      <w:r>
        <w:rPr>
          <w:rFonts w:ascii="仿宋" w:hAnsi="仿宋" w:eastAsia="仿宋"/>
          <w:kern w:val="0"/>
          <w:sz w:val="24"/>
        </w:rPr>
        <w:t>　　（1）系列基金。又被称为伞型基金，是指多个基金共用一个基金合同,子基金独立运作,子基金之间可以进行相互转换的一种基金结构形式。</w:t>
      </w:r>
    </w:p>
    <w:p>
      <w:pPr>
        <w:spacing w:line="360" w:lineRule="auto"/>
        <w:rPr>
          <w:rFonts w:ascii="仿宋" w:hAnsi="仿宋" w:eastAsia="仿宋"/>
          <w:kern w:val="0"/>
          <w:sz w:val="24"/>
        </w:rPr>
      </w:pPr>
      <w:r>
        <w:rPr>
          <w:rFonts w:ascii="仿宋" w:hAnsi="仿宋" w:eastAsia="仿宋"/>
          <w:kern w:val="0"/>
          <w:sz w:val="24"/>
        </w:rPr>
        <w:t>　　（2）保本基金。是指通过一定的保本投资策略进行运作，同时引入保本保障机制，以保证基金份额持有人在保本周期到期时，可以获得投资本金保证的基金。</w:t>
      </w:r>
    </w:p>
    <w:p>
      <w:pPr>
        <w:spacing w:line="360" w:lineRule="auto"/>
        <w:rPr>
          <w:rFonts w:ascii="仿宋" w:hAnsi="仿宋" w:eastAsia="仿宋"/>
          <w:kern w:val="0"/>
          <w:sz w:val="24"/>
        </w:rPr>
      </w:pPr>
      <w:r>
        <w:rPr>
          <w:rFonts w:ascii="仿宋" w:hAnsi="仿宋" w:eastAsia="仿宋"/>
          <w:kern w:val="0"/>
          <w:sz w:val="24"/>
        </w:rPr>
        <w:t>　　（3）交易型开放式指数基金(ETF)与ETF联接基金。交易型开放式指数基金,通常又被称为交易所交易基金(Exchange Traded Funds,简称“ETF”),是一种在交易所上市交易的、基金份额可变的一种开放式基金。它结合了开放式基金和封闭式基金的运作特点，其份额可以在二级市场买卖，也可以申购、赎回。但是，由于它的申购是用一篮子成份券换取基金份额，赎回也是换回一篮子成份券而非现金。为方便未参与二级市场交易的投资者，就诞生了“ETF联接基金”，这种基金将90%以上的资产投资于目标ETF，采用开放式运作方式并在场外申购或赎回。</w:t>
      </w:r>
    </w:p>
    <w:p>
      <w:pPr>
        <w:spacing w:line="360" w:lineRule="auto"/>
        <w:rPr>
          <w:rFonts w:ascii="仿宋" w:hAnsi="仿宋" w:eastAsia="仿宋"/>
          <w:kern w:val="0"/>
          <w:sz w:val="24"/>
        </w:rPr>
      </w:pPr>
      <w:r>
        <w:rPr>
          <w:rFonts w:ascii="仿宋" w:hAnsi="仿宋" w:eastAsia="仿宋"/>
          <w:kern w:val="0"/>
          <w:sz w:val="24"/>
        </w:rPr>
        <w:t>　　（4）上市开放式基金(Listed Open-ended Funds,简称“LOF”)是一种既可以在场外市场进行基金份额申购赎回，又可以在交易所（场内市场）进行基金份额交易、申购或赎回的开放式基金。</w:t>
      </w:r>
    </w:p>
    <w:p>
      <w:pPr>
        <w:spacing w:line="360" w:lineRule="auto"/>
        <w:rPr>
          <w:rFonts w:ascii="仿宋" w:hAnsi="仿宋" w:eastAsia="仿宋"/>
          <w:kern w:val="0"/>
          <w:sz w:val="24"/>
        </w:rPr>
      </w:pPr>
      <w:r>
        <w:rPr>
          <w:rFonts w:ascii="仿宋" w:hAnsi="仿宋" w:eastAsia="仿宋"/>
          <w:kern w:val="0"/>
          <w:sz w:val="24"/>
        </w:rPr>
        <w:t>　　（5）QDII基金。QDII是Qualified Domestic InstitutionalInvestors的首字母缩写。它是指在一国境内设立，经该国有关部门批准从事境外证券市场的股票、债券等有价证券投资的基金。它为国内投资者参与国际市场投资提供了便利。</w:t>
      </w:r>
    </w:p>
    <w:p>
      <w:pPr>
        <w:spacing w:line="360" w:lineRule="auto"/>
        <w:rPr>
          <w:rFonts w:ascii="仿宋" w:hAnsi="仿宋" w:eastAsia="仿宋"/>
          <w:kern w:val="0"/>
          <w:sz w:val="24"/>
        </w:rPr>
      </w:pPr>
      <w:r>
        <w:rPr>
          <w:rFonts w:ascii="仿宋" w:hAnsi="仿宋" w:eastAsia="仿宋"/>
          <w:kern w:val="0"/>
          <w:sz w:val="24"/>
        </w:rPr>
        <w:t>　　（6）分级基金。是指通过事先约定基金的风险收益分配，将基础份额分为预期风险收益不同的子份额，并可将其中部分或全部份额上市交易的结构化证券投资基金。</w:t>
      </w:r>
    </w:p>
    <w:p>
      <w:pPr>
        <w:spacing w:line="360" w:lineRule="auto"/>
        <w:rPr>
          <w:rFonts w:ascii="仿宋" w:hAnsi="仿宋" w:eastAsia="仿宋"/>
          <w:kern w:val="0"/>
          <w:sz w:val="24"/>
        </w:rPr>
      </w:pPr>
      <w:r>
        <w:rPr>
          <w:rFonts w:ascii="仿宋" w:hAnsi="仿宋" w:eastAsia="仿宋"/>
          <w:kern w:val="0"/>
          <w:sz w:val="24"/>
        </w:rPr>
        <w:t>　　（四）基金评级</w:t>
      </w:r>
    </w:p>
    <w:p>
      <w:pPr>
        <w:spacing w:line="360" w:lineRule="auto"/>
        <w:rPr>
          <w:rFonts w:ascii="仿宋" w:hAnsi="仿宋" w:eastAsia="仿宋"/>
          <w:kern w:val="0"/>
          <w:sz w:val="24"/>
        </w:rPr>
      </w:pPr>
      <w:r>
        <w:rPr>
          <w:rFonts w:ascii="仿宋" w:hAnsi="仿宋" w:eastAsia="仿宋"/>
          <w:kern w:val="0"/>
          <w:sz w:val="24"/>
        </w:rPr>
        <w:t>　　基金评级是依据一定标准对基金产品进行分析从而做出优劣评价。投资人在投资基金时，可以适当参考基金评级结果，但切不可把基金评级作为选择基金的唯一依据。此外，基金评级是对基金管理人过往的业绩表现做出评价，并不代表基金未来长期业绩的表现。</w:t>
      </w:r>
    </w:p>
    <w:p>
      <w:pPr>
        <w:spacing w:line="360" w:lineRule="auto"/>
        <w:rPr>
          <w:rFonts w:ascii="仿宋" w:hAnsi="仿宋" w:eastAsia="仿宋"/>
          <w:kern w:val="0"/>
          <w:sz w:val="24"/>
        </w:rPr>
      </w:pPr>
      <w:r>
        <w:rPr>
          <w:rFonts w:ascii="仿宋" w:hAnsi="仿宋" w:eastAsia="仿宋"/>
          <w:kern w:val="0"/>
          <w:sz w:val="24"/>
        </w:rPr>
        <w:t>　　本公司将根据销售适用性原则，对基金管理人进行审慎调查，并对基金产品进行风险评价。</w:t>
      </w:r>
    </w:p>
    <w:p>
      <w:pPr>
        <w:spacing w:line="360" w:lineRule="auto"/>
        <w:rPr>
          <w:rFonts w:ascii="仿宋" w:hAnsi="仿宋" w:eastAsia="仿宋"/>
          <w:kern w:val="0"/>
          <w:sz w:val="24"/>
        </w:rPr>
      </w:pPr>
      <w:r>
        <w:rPr>
          <w:rFonts w:ascii="仿宋" w:hAnsi="仿宋" w:eastAsia="仿宋"/>
          <w:kern w:val="0"/>
          <w:sz w:val="24"/>
        </w:rPr>
        <w:t>　　（五）基金费用</w:t>
      </w:r>
    </w:p>
    <w:p>
      <w:pPr>
        <w:spacing w:line="360" w:lineRule="auto"/>
        <w:rPr>
          <w:rFonts w:ascii="仿宋" w:hAnsi="仿宋" w:eastAsia="仿宋"/>
          <w:kern w:val="0"/>
          <w:sz w:val="24"/>
        </w:rPr>
      </w:pPr>
      <w:r>
        <w:rPr>
          <w:rFonts w:ascii="仿宋" w:hAnsi="仿宋" w:eastAsia="仿宋"/>
          <w:kern w:val="0"/>
          <w:sz w:val="24"/>
        </w:rPr>
        <w:t>　　基金费用一般包括两大类：一类是在基金销售过程中发生的由基金投资人自己承担的费用，主要包括认购费、申购费、赎回费和基金转换费。这些费用一般直接在投资人认购、申购、赎回或转换时收取。其中申购费可在投资人购买基金时收取，即前端申购费；也可在投资人卖出基金时收取，即后端申购费，其费率一般按持有期限递减。另一类是在基金管理过程中发生的费用，主要包括基金管理费、基金托管费、信息披露费等，这些费用由基金资产承担。对于不收取申购、赎回费的货币市场基金和部分债券基金，还可按相关规定从基金资产中计提一定的销售服务费，专门用于本基金的销售和对基金持有人的服务</w:t>
      </w:r>
      <w:r>
        <w:rPr>
          <w:rFonts w:hint="eastAsia" w:ascii="仿宋" w:hAnsi="仿宋" w:eastAsia="仿宋"/>
          <w:kern w:val="0"/>
          <w:sz w:val="24"/>
        </w:rPr>
        <w:t>。</w:t>
      </w:r>
    </w:p>
    <w:p>
      <w:pPr>
        <w:spacing w:line="360" w:lineRule="auto"/>
        <w:rPr>
          <w:rFonts w:ascii="仿宋" w:hAnsi="仿宋" w:eastAsia="仿宋"/>
          <w:kern w:val="0"/>
          <w:sz w:val="24"/>
        </w:rPr>
      </w:pPr>
      <w:r>
        <w:rPr>
          <w:rFonts w:ascii="仿宋" w:hAnsi="仿宋" w:eastAsia="仿宋"/>
          <w:kern w:val="0"/>
          <w:sz w:val="24"/>
        </w:rPr>
        <w:t>二、</w:t>
      </w:r>
      <w:r>
        <w:rPr>
          <w:rFonts w:ascii="Arial" w:hAnsi="Arial" w:eastAsia="仿宋"/>
          <w:kern w:val="0"/>
          <w:sz w:val="24"/>
        </w:rPr>
        <w:t> </w:t>
      </w:r>
      <w:r>
        <w:rPr>
          <w:rFonts w:ascii="仿宋" w:hAnsi="仿宋" w:eastAsia="仿宋"/>
          <w:kern w:val="0"/>
          <w:sz w:val="24"/>
        </w:rPr>
        <w:t>基金份额持有人的权利</w:t>
      </w:r>
    </w:p>
    <w:p>
      <w:pPr>
        <w:spacing w:line="360" w:lineRule="auto"/>
        <w:rPr>
          <w:rFonts w:ascii="仿宋" w:hAnsi="仿宋" w:eastAsia="仿宋"/>
          <w:kern w:val="0"/>
          <w:sz w:val="24"/>
        </w:rPr>
      </w:pPr>
      <w:r>
        <w:rPr>
          <w:rFonts w:ascii="仿宋" w:hAnsi="仿宋" w:eastAsia="仿宋"/>
          <w:kern w:val="0"/>
          <w:sz w:val="24"/>
        </w:rPr>
        <w:t>　　根据《证券投资基金法》第46条的规定，基金份额持有人享有下列权利：</w:t>
      </w:r>
    </w:p>
    <w:p>
      <w:pPr>
        <w:spacing w:line="360" w:lineRule="auto"/>
        <w:rPr>
          <w:rFonts w:ascii="仿宋" w:hAnsi="仿宋" w:eastAsia="仿宋"/>
          <w:kern w:val="0"/>
          <w:sz w:val="24"/>
        </w:rPr>
      </w:pPr>
      <w:r>
        <w:rPr>
          <w:rFonts w:ascii="仿宋" w:hAnsi="仿宋" w:eastAsia="仿宋"/>
          <w:kern w:val="0"/>
          <w:sz w:val="24"/>
        </w:rPr>
        <w:t>　　（一）分享基金财产收益；</w:t>
      </w:r>
    </w:p>
    <w:p>
      <w:pPr>
        <w:spacing w:line="360" w:lineRule="auto"/>
        <w:rPr>
          <w:rFonts w:ascii="仿宋" w:hAnsi="仿宋" w:eastAsia="仿宋"/>
          <w:kern w:val="0"/>
          <w:sz w:val="24"/>
        </w:rPr>
      </w:pPr>
      <w:r>
        <w:rPr>
          <w:rFonts w:ascii="仿宋" w:hAnsi="仿宋" w:eastAsia="仿宋"/>
          <w:kern w:val="0"/>
          <w:sz w:val="24"/>
        </w:rPr>
        <w:t>　　（二）参与分配清算后的剩余基金财产；</w:t>
      </w:r>
    </w:p>
    <w:p>
      <w:pPr>
        <w:spacing w:line="360" w:lineRule="auto"/>
        <w:rPr>
          <w:rFonts w:ascii="仿宋" w:hAnsi="仿宋" w:eastAsia="仿宋"/>
          <w:kern w:val="0"/>
          <w:sz w:val="24"/>
        </w:rPr>
      </w:pPr>
      <w:r>
        <w:rPr>
          <w:rFonts w:ascii="仿宋" w:hAnsi="仿宋" w:eastAsia="仿宋"/>
          <w:kern w:val="0"/>
          <w:sz w:val="24"/>
        </w:rPr>
        <w:t>　　（三）依法转让或申请赎回其持有的基金份额；</w:t>
      </w:r>
    </w:p>
    <w:p>
      <w:pPr>
        <w:spacing w:line="360" w:lineRule="auto"/>
        <w:rPr>
          <w:rFonts w:ascii="仿宋" w:hAnsi="仿宋" w:eastAsia="仿宋"/>
          <w:kern w:val="0"/>
          <w:sz w:val="24"/>
        </w:rPr>
      </w:pPr>
      <w:r>
        <w:rPr>
          <w:rFonts w:ascii="仿宋" w:hAnsi="仿宋" w:eastAsia="仿宋"/>
          <w:kern w:val="0"/>
          <w:sz w:val="24"/>
        </w:rPr>
        <w:t>　　（四）按照规定要求召开基金份额持有人大会；</w:t>
      </w:r>
    </w:p>
    <w:p>
      <w:pPr>
        <w:spacing w:line="360" w:lineRule="auto"/>
        <w:rPr>
          <w:rFonts w:ascii="仿宋" w:hAnsi="仿宋" w:eastAsia="仿宋"/>
          <w:kern w:val="0"/>
          <w:sz w:val="24"/>
        </w:rPr>
      </w:pPr>
      <w:r>
        <w:rPr>
          <w:rFonts w:ascii="仿宋" w:hAnsi="仿宋" w:eastAsia="仿宋"/>
          <w:kern w:val="0"/>
          <w:sz w:val="24"/>
        </w:rPr>
        <w:t>　　（五）对基金份额持有人大会审议事项行使表决权；</w:t>
      </w:r>
    </w:p>
    <w:p>
      <w:pPr>
        <w:spacing w:line="360" w:lineRule="auto"/>
        <w:rPr>
          <w:rFonts w:ascii="仿宋" w:hAnsi="仿宋" w:eastAsia="仿宋"/>
          <w:kern w:val="0"/>
          <w:sz w:val="24"/>
        </w:rPr>
      </w:pPr>
      <w:r>
        <w:rPr>
          <w:rFonts w:ascii="仿宋" w:hAnsi="仿宋" w:eastAsia="仿宋"/>
          <w:kern w:val="0"/>
          <w:sz w:val="24"/>
        </w:rPr>
        <w:t>　　（</w:t>
      </w:r>
      <w:r>
        <w:rPr>
          <w:rFonts w:hint="eastAsia" w:ascii="仿宋" w:hAnsi="仿宋" w:eastAsia="仿宋"/>
          <w:kern w:val="0"/>
          <w:sz w:val="24"/>
        </w:rPr>
        <w:t>六</w:t>
      </w:r>
      <w:r>
        <w:rPr>
          <w:rFonts w:ascii="仿宋" w:hAnsi="仿宋" w:eastAsia="仿宋"/>
          <w:kern w:val="0"/>
          <w:sz w:val="24"/>
        </w:rPr>
        <w:t>）对基金管理人、基金托管人、基金份额发售机构损害其合法权益的行为依法提起诉讼；</w:t>
      </w:r>
    </w:p>
    <w:p>
      <w:pPr>
        <w:spacing w:line="360" w:lineRule="auto"/>
        <w:rPr>
          <w:rFonts w:ascii="仿宋" w:hAnsi="仿宋" w:eastAsia="仿宋"/>
          <w:kern w:val="0"/>
          <w:sz w:val="24"/>
        </w:rPr>
      </w:pPr>
      <w:r>
        <w:rPr>
          <w:rFonts w:ascii="仿宋" w:hAnsi="仿宋" w:eastAsia="仿宋"/>
          <w:kern w:val="0"/>
          <w:sz w:val="24"/>
        </w:rPr>
        <w:t>　　（</w:t>
      </w:r>
      <w:r>
        <w:rPr>
          <w:rFonts w:hint="eastAsia" w:ascii="仿宋" w:hAnsi="仿宋" w:eastAsia="仿宋"/>
          <w:kern w:val="0"/>
          <w:sz w:val="24"/>
        </w:rPr>
        <w:t>七</w:t>
      </w:r>
      <w:r>
        <w:rPr>
          <w:rFonts w:ascii="仿宋" w:hAnsi="仿宋" w:eastAsia="仿宋"/>
          <w:kern w:val="0"/>
          <w:sz w:val="24"/>
        </w:rPr>
        <w:t>）基金合同约定的其它权利。</w:t>
      </w:r>
    </w:p>
    <w:p>
      <w:pPr>
        <w:spacing w:line="360" w:lineRule="auto"/>
        <w:ind w:firstLine="480" w:firstLineChars="200"/>
        <w:rPr>
          <w:rFonts w:ascii="仿宋" w:hAnsi="仿宋" w:eastAsia="仿宋"/>
          <w:kern w:val="0"/>
          <w:sz w:val="24"/>
        </w:rPr>
      </w:pPr>
      <w:r>
        <w:rPr>
          <w:rFonts w:hint="eastAsia" w:ascii="仿宋" w:hAnsi="仿宋" w:eastAsia="仿宋"/>
          <w:kern w:val="0"/>
          <w:sz w:val="24"/>
        </w:rPr>
        <w:t>公开募集基金的基金份额持有人有权查阅或者复制公开披露的基金信息资料；非公开募集基金的基金份额持有人对涉及自身利益的情况，有权查阅基金的财务会计账簿等财务资料。</w:t>
      </w:r>
    </w:p>
    <w:p>
      <w:pPr>
        <w:spacing w:line="360" w:lineRule="auto"/>
        <w:rPr>
          <w:rFonts w:ascii="仿宋" w:hAnsi="仿宋" w:eastAsia="仿宋"/>
          <w:kern w:val="0"/>
          <w:sz w:val="24"/>
        </w:rPr>
      </w:pPr>
      <w:r>
        <w:rPr>
          <w:rFonts w:ascii="仿宋" w:hAnsi="仿宋" w:eastAsia="仿宋"/>
          <w:kern w:val="0"/>
          <w:sz w:val="24"/>
        </w:rPr>
        <w:t>三、</w:t>
      </w:r>
      <w:r>
        <w:rPr>
          <w:rFonts w:ascii="Arial" w:hAnsi="Arial" w:eastAsia="仿宋"/>
          <w:kern w:val="0"/>
          <w:sz w:val="24"/>
        </w:rPr>
        <w:t> </w:t>
      </w:r>
      <w:r>
        <w:rPr>
          <w:rFonts w:ascii="仿宋" w:hAnsi="仿宋" w:eastAsia="仿宋"/>
          <w:kern w:val="0"/>
          <w:sz w:val="24"/>
        </w:rPr>
        <w:t>基金投资风险提示</w:t>
      </w:r>
    </w:p>
    <w:p>
      <w:pPr>
        <w:spacing w:line="360" w:lineRule="auto"/>
        <w:rPr>
          <w:rFonts w:ascii="仿宋" w:hAnsi="仿宋" w:eastAsia="仿宋"/>
          <w:kern w:val="0"/>
          <w:sz w:val="24"/>
        </w:rPr>
      </w:pPr>
      <w:r>
        <w:rPr>
          <w:rFonts w:ascii="仿宋" w:hAnsi="仿宋" w:eastAsia="仿宋"/>
          <w:kern w:val="0"/>
          <w:sz w:val="24"/>
        </w:rPr>
        <w:t>　　（一）证券投资基金是一种理财工具，其主要功能是分散投资，降低投资单一证券所带来的个别风险。基金不同于银行储蓄和债券等能够提供固定收益预期的金融工具，投资人购买基金，既可能按其持有份额分享基金投资所产生的收益，也可能承担基金投资所带来的损失。</w:t>
      </w:r>
    </w:p>
    <w:p>
      <w:pPr>
        <w:spacing w:line="360" w:lineRule="auto"/>
        <w:rPr>
          <w:rFonts w:ascii="仿宋" w:hAnsi="仿宋" w:eastAsia="仿宋"/>
          <w:kern w:val="0"/>
          <w:sz w:val="24"/>
        </w:rPr>
      </w:pPr>
      <w:r>
        <w:rPr>
          <w:rFonts w:ascii="仿宋" w:hAnsi="仿宋" w:eastAsia="仿宋"/>
          <w:kern w:val="0"/>
          <w:sz w:val="24"/>
        </w:rPr>
        <w:t>　　（二）基金在投资运作过程中可能面临各种风险，既包括市场风险，也包括基金自身的管理风险、技术风险和合规风险等。巨额赎回风险是开放式基金所特有的一种风险，即当单个交易日基金的净赎回申请超过基金总份额的百分之十时，投资人将可能无法及时赎回持有的全部基金份额。</w:t>
      </w:r>
    </w:p>
    <w:p>
      <w:pPr>
        <w:spacing w:line="360" w:lineRule="auto"/>
        <w:rPr>
          <w:rFonts w:ascii="仿宋" w:hAnsi="仿宋" w:eastAsia="仿宋"/>
          <w:kern w:val="0"/>
          <w:sz w:val="24"/>
        </w:rPr>
      </w:pPr>
      <w:r>
        <w:rPr>
          <w:rFonts w:ascii="仿宋" w:hAnsi="仿宋" w:eastAsia="仿宋"/>
          <w:kern w:val="0"/>
          <w:sz w:val="24"/>
        </w:rPr>
        <w:t>　　（三）基金投资人应当充分了解基金定期定额投资和零存整取等储蓄方式的区别。基金定期定额投资是引导投资人进行长期投资、平均投资成本的一种简单易行的投资方式，但并不能规避基金投资所固有的风险，不能保证投资人获得收益，也不是替代储蓄的等效理财方式。</w:t>
      </w:r>
    </w:p>
    <w:p>
      <w:pPr>
        <w:spacing w:line="360" w:lineRule="auto"/>
        <w:rPr>
          <w:rFonts w:ascii="仿宋" w:hAnsi="仿宋" w:eastAsia="仿宋"/>
          <w:kern w:val="0"/>
          <w:sz w:val="24"/>
        </w:rPr>
      </w:pPr>
      <w:r>
        <w:rPr>
          <w:rFonts w:ascii="仿宋" w:hAnsi="仿宋" w:eastAsia="仿宋"/>
          <w:kern w:val="0"/>
          <w:sz w:val="24"/>
        </w:rPr>
        <w:t>　　（四）基金管理人承诺以诚实守信、勤勉尽责的原则管理和运用基金资产，但不保证旗下基金一定盈利，也不保证最低收益。旗下基金的过往业绩及其净值高低并不预示其未来业绩表现。基金管理人提醒投资人基金投资的“买者自负”原则，在做出投资决策后，基金运营状况与基金净值变化引致的投资风险，由投资人自行负担。</w:t>
      </w:r>
    </w:p>
    <w:p>
      <w:pPr>
        <w:spacing w:line="360" w:lineRule="auto"/>
        <w:ind w:firstLine="420"/>
        <w:rPr>
          <w:rFonts w:ascii="仿宋" w:hAnsi="仿宋" w:eastAsia="仿宋"/>
          <w:kern w:val="0"/>
          <w:sz w:val="24"/>
        </w:rPr>
      </w:pPr>
      <w:r>
        <w:rPr>
          <w:rFonts w:ascii="仿宋" w:hAnsi="仿宋" w:eastAsia="仿宋"/>
          <w:kern w:val="0"/>
          <w:sz w:val="24"/>
        </w:rPr>
        <w:t>（五）本公司将对基金投资人的风险承受能力进行调查和评价，并根据基金投资人的风险承受能力推荐相应的基金品种，但本公司所做的推荐仅供投资人参考，投资人应根据自身风险承受能力选择基金产品并自行承担投资基金的风险。</w:t>
      </w:r>
    </w:p>
    <w:p>
      <w:pPr>
        <w:spacing w:line="360" w:lineRule="auto"/>
        <w:rPr>
          <w:rFonts w:ascii="仿宋" w:hAnsi="仿宋" w:eastAsia="仿宋"/>
          <w:kern w:val="0"/>
          <w:sz w:val="24"/>
        </w:rPr>
      </w:pPr>
      <w:r>
        <w:rPr>
          <w:rFonts w:ascii="仿宋" w:hAnsi="仿宋" w:eastAsia="仿宋"/>
          <w:kern w:val="0"/>
          <w:sz w:val="24"/>
        </w:rPr>
        <w:t>四、</w:t>
      </w:r>
      <w:r>
        <w:rPr>
          <w:rFonts w:ascii="Arial" w:hAnsi="Arial" w:eastAsia="仿宋"/>
          <w:kern w:val="0"/>
          <w:sz w:val="24"/>
        </w:rPr>
        <w:t> </w:t>
      </w:r>
      <w:r>
        <w:rPr>
          <w:rFonts w:ascii="仿宋" w:hAnsi="仿宋" w:eastAsia="仿宋"/>
          <w:kern w:val="0"/>
          <w:sz w:val="24"/>
        </w:rPr>
        <w:t>服务内容和收费方式</w:t>
      </w:r>
    </w:p>
    <w:p>
      <w:pPr>
        <w:spacing w:line="360" w:lineRule="auto"/>
        <w:rPr>
          <w:rFonts w:ascii="仿宋" w:hAnsi="仿宋" w:eastAsia="仿宋"/>
          <w:kern w:val="0"/>
          <w:sz w:val="24"/>
        </w:rPr>
      </w:pPr>
      <w:r>
        <w:rPr>
          <w:rFonts w:ascii="仿宋" w:hAnsi="仿宋" w:eastAsia="仿宋"/>
          <w:kern w:val="0"/>
          <w:sz w:val="24"/>
        </w:rPr>
        <w:t>　　本公司向基金投资人提供以下服务：</w:t>
      </w:r>
    </w:p>
    <w:p>
      <w:pPr>
        <w:spacing w:line="360" w:lineRule="auto"/>
        <w:rPr>
          <w:rFonts w:ascii="仿宋" w:hAnsi="仿宋" w:eastAsia="仿宋"/>
          <w:kern w:val="0"/>
          <w:sz w:val="24"/>
        </w:rPr>
      </w:pPr>
      <w:r>
        <w:rPr>
          <w:rFonts w:ascii="仿宋" w:hAnsi="仿宋" w:eastAsia="仿宋"/>
          <w:kern w:val="0"/>
          <w:sz w:val="24"/>
        </w:rPr>
        <w:t>　　（一）对基金投资人的风险承受能力进行调查和评价。</w:t>
      </w:r>
    </w:p>
    <w:p>
      <w:pPr>
        <w:spacing w:line="360" w:lineRule="auto"/>
        <w:rPr>
          <w:rFonts w:ascii="仿宋" w:hAnsi="仿宋" w:eastAsia="仿宋"/>
          <w:kern w:val="0"/>
          <w:sz w:val="24"/>
        </w:rPr>
      </w:pPr>
      <w:r>
        <w:rPr>
          <w:rFonts w:ascii="仿宋" w:hAnsi="仿宋" w:eastAsia="仿宋"/>
          <w:kern w:val="0"/>
          <w:sz w:val="24"/>
        </w:rPr>
        <w:t>　　（二）基金销售业务，包括基金（资金）账户开户、基金申（认）购、基金赎回、基金转换（可选项）、定额定投（可选项）、修改基金分红方式等。本公司根据每只基金的发行公告及基金管理公司发布的其它相关公告收取相应的申（认）购、赎回费和转换费。</w:t>
      </w:r>
    </w:p>
    <w:p>
      <w:pPr>
        <w:spacing w:line="360" w:lineRule="auto"/>
        <w:rPr>
          <w:rFonts w:ascii="仿宋" w:hAnsi="仿宋" w:eastAsia="仿宋"/>
          <w:kern w:val="0"/>
          <w:sz w:val="24"/>
        </w:rPr>
      </w:pPr>
      <w:r>
        <w:rPr>
          <w:rFonts w:ascii="仿宋" w:hAnsi="仿宋" w:eastAsia="仿宋"/>
          <w:kern w:val="0"/>
          <w:sz w:val="24"/>
        </w:rPr>
        <w:t>　　（三）基金网上交易服务。</w:t>
      </w:r>
    </w:p>
    <w:p>
      <w:pPr>
        <w:spacing w:line="360" w:lineRule="auto"/>
        <w:rPr>
          <w:rFonts w:ascii="仿宋" w:hAnsi="仿宋" w:eastAsia="仿宋"/>
          <w:kern w:val="0"/>
          <w:sz w:val="24"/>
        </w:rPr>
      </w:pPr>
      <w:r>
        <w:rPr>
          <w:rFonts w:ascii="仿宋" w:hAnsi="仿宋" w:eastAsia="仿宋"/>
          <w:kern w:val="0"/>
          <w:sz w:val="24"/>
        </w:rPr>
        <w:t>　　（四）基金投资咨询服务（可选项）。</w:t>
      </w:r>
    </w:p>
    <w:p>
      <w:pPr>
        <w:spacing w:line="360" w:lineRule="auto"/>
        <w:rPr>
          <w:rFonts w:ascii="仿宋" w:hAnsi="仿宋" w:eastAsia="仿宋"/>
          <w:kern w:val="0"/>
          <w:sz w:val="24"/>
        </w:rPr>
      </w:pPr>
      <w:r>
        <w:rPr>
          <w:rFonts w:ascii="仿宋" w:hAnsi="仿宋" w:eastAsia="仿宋"/>
          <w:kern w:val="0"/>
          <w:sz w:val="24"/>
        </w:rPr>
        <w:t>　　（五）基金净值、分红提示、交易确认等短信服务（可选项）。</w:t>
      </w:r>
    </w:p>
    <w:p>
      <w:pPr>
        <w:spacing w:line="360" w:lineRule="auto"/>
        <w:rPr>
          <w:rFonts w:ascii="仿宋" w:hAnsi="仿宋" w:eastAsia="仿宋"/>
          <w:kern w:val="0"/>
          <w:sz w:val="24"/>
        </w:rPr>
      </w:pPr>
      <w:r>
        <w:rPr>
          <w:rFonts w:ascii="仿宋" w:hAnsi="仿宋" w:eastAsia="仿宋"/>
          <w:kern w:val="0"/>
          <w:sz w:val="24"/>
        </w:rPr>
        <w:t>　　（六）电话咨询、电话自助交易服务（可选项）。</w:t>
      </w:r>
    </w:p>
    <w:p>
      <w:pPr>
        <w:spacing w:line="360" w:lineRule="auto"/>
        <w:rPr>
          <w:rFonts w:ascii="仿宋" w:hAnsi="仿宋" w:eastAsia="仿宋"/>
          <w:kern w:val="0"/>
          <w:sz w:val="24"/>
        </w:rPr>
      </w:pPr>
      <w:r>
        <w:rPr>
          <w:rFonts w:ascii="仿宋" w:hAnsi="仿宋" w:eastAsia="仿宋"/>
          <w:kern w:val="0"/>
          <w:sz w:val="24"/>
        </w:rPr>
        <w:t>　　（七）基金知识普及和风险教育。</w:t>
      </w:r>
    </w:p>
    <w:p>
      <w:pPr>
        <w:spacing w:line="360" w:lineRule="auto"/>
        <w:rPr>
          <w:rFonts w:ascii="仿宋" w:hAnsi="仿宋" w:eastAsia="仿宋"/>
          <w:kern w:val="0"/>
          <w:sz w:val="24"/>
        </w:rPr>
      </w:pPr>
      <w:r>
        <w:rPr>
          <w:rFonts w:ascii="仿宋" w:hAnsi="仿宋" w:eastAsia="仿宋"/>
          <w:kern w:val="0"/>
          <w:sz w:val="24"/>
        </w:rPr>
        <w:t>五、</w:t>
      </w:r>
      <w:r>
        <w:rPr>
          <w:rFonts w:ascii="Arial" w:hAnsi="Arial" w:eastAsia="仿宋"/>
          <w:kern w:val="0"/>
          <w:sz w:val="24"/>
        </w:rPr>
        <w:t> </w:t>
      </w:r>
      <w:r>
        <w:rPr>
          <w:rFonts w:ascii="仿宋" w:hAnsi="仿宋" w:eastAsia="仿宋"/>
          <w:kern w:val="0"/>
          <w:sz w:val="24"/>
        </w:rPr>
        <w:t>基金交易业务流程</w:t>
      </w:r>
    </w:p>
    <w:p>
      <w:pPr>
        <w:spacing w:line="360" w:lineRule="auto"/>
        <w:ind w:firstLine="420"/>
        <w:rPr>
          <w:rFonts w:ascii="仿宋" w:hAnsi="仿宋" w:eastAsia="仿宋"/>
          <w:kern w:val="0"/>
          <w:sz w:val="24"/>
        </w:rPr>
      </w:pPr>
      <w:r>
        <w:rPr>
          <w:rFonts w:hint="eastAsia" w:ascii="仿宋" w:hAnsi="仿宋" w:eastAsia="仿宋"/>
          <w:kern w:val="0"/>
          <w:sz w:val="24"/>
        </w:rPr>
        <w:t>主要流程为：开立资金账户</w:t>
      </w:r>
      <w:r>
        <w:rPr>
          <w:rFonts w:ascii="仿宋" w:hAnsi="仿宋" w:eastAsia="仿宋"/>
          <w:kern w:val="0"/>
          <w:sz w:val="24"/>
        </w:rPr>
        <w:t>—&gt;</w:t>
      </w:r>
      <w:r>
        <w:rPr>
          <w:rFonts w:hint="eastAsia" w:ascii="仿宋" w:hAnsi="仿宋" w:eastAsia="仿宋"/>
          <w:kern w:val="0"/>
          <w:sz w:val="24"/>
        </w:rPr>
        <w:t>办理第三方银行存管</w:t>
      </w:r>
      <w:r>
        <w:rPr>
          <w:rFonts w:ascii="仿宋" w:hAnsi="仿宋" w:eastAsia="仿宋"/>
          <w:kern w:val="0"/>
          <w:sz w:val="24"/>
        </w:rPr>
        <w:t>—&gt;</w:t>
      </w:r>
      <w:r>
        <w:rPr>
          <w:rFonts w:hint="eastAsia" w:ascii="仿宋" w:hAnsi="仿宋" w:eastAsia="仿宋"/>
          <w:kern w:val="0"/>
          <w:sz w:val="24"/>
        </w:rPr>
        <w:t>开立基金账户</w:t>
      </w:r>
      <w:r>
        <w:rPr>
          <w:rFonts w:ascii="仿宋" w:hAnsi="仿宋" w:eastAsia="仿宋"/>
          <w:kern w:val="0"/>
          <w:sz w:val="24"/>
        </w:rPr>
        <w:t>—&gt;</w:t>
      </w:r>
      <w:r>
        <w:rPr>
          <w:rFonts w:hint="eastAsia" w:ascii="仿宋" w:hAnsi="仿宋" w:eastAsia="仿宋"/>
          <w:kern w:val="0"/>
          <w:sz w:val="24"/>
        </w:rPr>
        <w:t>适当性管理风险承受能力测评</w:t>
      </w:r>
      <w:r>
        <w:rPr>
          <w:rFonts w:ascii="仿宋" w:hAnsi="仿宋" w:eastAsia="仿宋"/>
          <w:kern w:val="0"/>
          <w:sz w:val="24"/>
        </w:rPr>
        <w:t>—&gt;</w:t>
      </w:r>
      <w:r>
        <w:rPr>
          <w:rFonts w:hint="eastAsia" w:ascii="仿宋" w:hAnsi="仿宋" w:eastAsia="仿宋"/>
          <w:kern w:val="0"/>
          <w:sz w:val="24"/>
        </w:rPr>
        <w:t>参与基金产品投资</w:t>
      </w:r>
      <w:r>
        <w:rPr>
          <w:rFonts w:ascii="仿宋" w:hAnsi="仿宋" w:eastAsia="仿宋"/>
          <w:kern w:val="0"/>
          <w:sz w:val="24"/>
        </w:rPr>
        <w:t>—&gt;</w:t>
      </w:r>
      <w:r>
        <w:rPr>
          <w:rFonts w:hint="eastAsia" w:ascii="仿宋" w:hAnsi="仿宋" w:eastAsia="仿宋"/>
          <w:kern w:val="0"/>
          <w:sz w:val="24"/>
        </w:rPr>
        <w:t>基金分红</w:t>
      </w:r>
      <w:r>
        <w:rPr>
          <w:rFonts w:ascii="仿宋" w:hAnsi="仿宋" w:eastAsia="仿宋"/>
          <w:kern w:val="0"/>
          <w:sz w:val="24"/>
        </w:rPr>
        <w:t>—&gt;</w:t>
      </w:r>
      <w:r>
        <w:rPr>
          <w:rFonts w:hint="eastAsia" w:ascii="仿宋" w:hAnsi="仿宋" w:eastAsia="仿宋"/>
          <w:kern w:val="0"/>
          <w:sz w:val="24"/>
        </w:rPr>
        <w:t>赎回基金</w:t>
      </w:r>
    </w:p>
    <w:p>
      <w:pPr>
        <w:spacing w:line="360" w:lineRule="auto"/>
        <w:rPr>
          <w:rFonts w:ascii="仿宋" w:hAnsi="仿宋" w:eastAsia="仿宋"/>
          <w:kern w:val="0"/>
          <w:sz w:val="24"/>
        </w:rPr>
      </w:pPr>
      <w:r>
        <w:rPr>
          <w:rFonts w:ascii="仿宋" w:hAnsi="仿宋" w:eastAsia="仿宋"/>
          <w:kern w:val="0"/>
          <w:sz w:val="24"/>
        </w:rPr>
        <w:t>六、</w:t>
      </w:r>
      <w:r>
        <w:rPr>
          <w:rFonts w:ascii="Arial" w:hAnsi="Arial" w:eastAsia="仿宋"/>
          <w:kern w:val="0"/>
          <w:sz w:val="24"/>
        </w:rPr>
        <w:t> </w:t>
      </w:r>
      <w:r>
        <w:rPr>
          <w:rFonts w:ascii="仿宋" w:hAnsi="仿宋" w:eastAsia="仿宋"/>
          <w:kern w:val="0"/>
          <w:sz w:val="24"/>
        </w:rPr>
        <w:t>投诉处理和联系方式</w:t>
      </w:r>
    </w:p>
    <w:p>
      <w:pPr>
        <w:spacing w:line="360" w:lineRule="auto"/>
        <w:rPr>
          <w:rFonts w:ascii="仿宋" w:hAnsi="仿宋" w:eastAsia="仿宋"/>
          <w:kern w:val="0"/>
          <w:sz w:val="24"/>
        </w:rPr>
      </w:pPr>
      <w:r>
        <w:rPr>
          <w:rFonts w:ascii="仿宋" w:hAnsi="仿宋" w:eastAsia="仿宋"/>
          <w:kern w:val="0"/>
          <w:sz w:val="24"/>
        </w:rPr>
        <w:t>　　（一）</w:t>
      </w:r>
      <w:r>
        <w:rPr>
          <w:rFonts w:hint="eastAsia" w:ascii="仿宋" w:hAnsi="仿宋" w:eastAsia="仿宋" w:cs="宋体"/>
          <w:kern w:val="0"/>
          <w:sz w:val="24"/>
        </w:rPr>
        <w:t>基金投资人可以通过拨打本公司客户服务中心电话或以书信、传真、电子邮件等方式，对营业网点所提供的服务提出建议或投诉。对于工作日受理的投诉，原则上当日回复，不能当日回复的，在</w:t>
      </w:r>
      <w:r>
        <w:rPr>
          <w:rFonts w:ascii="仿宋" w:hAnsi="仿宋" w:eastAsia="仿宋" w:cs="宋体"/>
          <w:kern w:val="0"/>
          <w:sz w:val="24"/>
        </w:rPr>
        <w:t>3个工作日内回复。对于非工作日受理的投诉，原则上在顺延的第一个工作日回复，不能及时回复的，在3个工作日内回复。</w:t>
      </w:r>
    </w:p>
    <w:p>
      <w:pPr>
        <w:spacing w:line="360" w:lineRule="auto"/>
        <w:rPr>
          <w:rFonts w:ascii="仿宋" w:hAnsi="仿宋" w:eastAsia="仿宋"/>
          <w:kern w:val="0"/>
          <w:sz w:val="24"/>
        </w:rPr>
      </w:pPr>
      <w:r>
        <w:rPr>
          <w:rFonts w:ascii="仿宋" w:hAnsi="仿宋" w:eastAsia="仿宋"/>
          <w:kern w:val="0"/>
          <w:sz w:val="24"/>
        </w:rPr>
        <w:t>　　（二）基金投资人也可通过书信、传真、电子邮件等方式，向中国证监会和中国证券投资基金业协会投诉。联系方式如下：</w:t>
      </w:r>
    </w:p>
    <w:p>
      <w:pPr>
        <w:spacing w:line="360" w:lineRule="auto"/>
        <w:rPr>
          <w:rFonts w:ascii="仿宋" w:hAnsi="仿宋" w:eastAsia="仿宋"/>
          <w:sz w:val="24"/>
        </w:rPr>
      </w:pPr>
      <w:r>
        <w:rPr>
          <w:rFonts w:ascii="仿宋" w:hAnsi="仿宋" w:eastAsia="仿宋"/>
          <w:sz w:val="24"/>
        </w:rPr>
        <w:t>　　</w:t>
      </w:r>
      <w:r>
        <w:rPr>
          <w:rStyle w:val="46"/>
          <w:rFonts w:hAnsi="宋体"/>
          <w:sz w:val="22"/>
          <w:szCs w:val="22"/>
        </w:rPr>
        <w:t>中国证监会热线：12386。</w:t>
      </w:r>
      <w:r>
        <w:rPr>
          <w:rFonts w:ascii="仿宋" w:hAnsi="仿宋" w:eastAsia="仿宋"/>
          <w:sz w:val="24"/>
        </w:rPr>
        <w:t>中国证监会</w:t>
      </w:r>
      <w:r>
        <w:rPr>
          <w:rFonts w:hint="eastAsia" w:ascii="仿宋" w:hAnsi="仿宋" w:eastAsia="仿宋"/>
          <w:sz w:val="24"/>
        </w:rPr>
        <w:t>上海</w:t>
      </w:r>
      <w:r>
        <w:rPr>
          <w:rFonts w:ascii="仿宋" w:hAnsi="仿宋" w:eastAsia="仿宋"/>
          <w:sz w:val="24"/>
        </w:rPr>
        <w:t>监管局：网址：</w:t>
      </w:r>
      <w:r>
        <w:fldChar w:fldCharType="begin"/>
      </w:r>
      <w:r>
        <w:instrText xml:space="preserve"> HYPERLINK "http://www.csrc.gov.cn" </w:instrText>
      </w:r>
      <w:r>
        <w:fldChar w:fldCharType="separate"/>
      </w:r>
      <w:r>
        <w:rPr>
          <w:rFonts w:ascii="仿宋" w:hAnsi="仿宋" w:eastAsia="仿宋"/>
          <w:color w:val="0000FF"/>
          <w:sz w:val="24"/>
          <w:u w:val="single"/>
        </w:rPr>
        <w:t>www.csrc.gov.cn</w:t>
      </w:r>
      <w:r>
        <w:rPr>
          <w:rFonts w:ascii="仿宋" w:hAnsi="仿宋" w:eastAsia="仿宋"/>
          <w:color w:val="0000FF"/>
          <w:sz w:val="24"/>
          <w:u w:val="single"/>
        </w:rPr>
        <w:fldChar w:fldCharType="end"/>
      </w:r>
      <w:r>
        <w:rPr>
          <w:rFonts w:ascii="仿宋" w:hAnsi="仿宋" w:eastAsia="仿宋"/>
          <w:sz w:val="24"/>
        </w:rPr>
        <w:t>，联系电话：021-50121047</w:t>
      </w:r>
      <w:r>
        <w:rPr>
          <w:rFonts w:ascii="Arial" w:hAnsi="Arial" w:eastAsia="仿宋"/>
          <w:sz w:val="24"/>
        </w:rPr>
        <w:t> </w:t>
      </w:r>
      <w:r>
        <w:rPr>
          <w:rFonts w:ascii="仿宋" w:hAnsi="仿宋" w:eastAsia="仿宋"/>
          <w:sz w:val="24"/>
        </w:rPr>
        <w:t>，地址：</w:t>
      </w:r>
      <w:r>
        <w:rPr>
          <w:rFonts w:ascii="Arial" w:hAnsi="Arial" w:eastAsia="仿宋"/>
          <w:sz w:val="24"/>
        </w:rPr>
        <w:t> </w:t>
      </w:r>
      <w:r>
        <w:rPr>
          <w:rFonts w:ascii="仿宋" w:hAnsi="仿宋" w:eastAsia="仿宋"/>
          <w:color w:val="333333"/>
          <w:sz w:val="24"/>
        </w:rPr>
        <w:t>上海市浦东新区迎春路555号</w:t>
      </w:r>
      <w:r>
        <w:rPr>
          <w:rFonts w:ascii="仿宋" w:hAnsi="仿宋" w:eastAsia="仿宋"/>
          <w:sz w:val="24"/>
        </w:rPr>
        <w:t>，邮编：</w:t>
      </w:r>
      <w:r>
        <w:rPr>
          <w:rFonts w:ascii="Arial" w:hAnsi="Arial" w:eastAsia="仿宋"/>
          <w:sz w:val="24"/>
        </w:rPr>
        <w:t> </w:t>
      </w:r>
      <w:r>
        <w:rPr>
          <w:rFonts w:ascii="仿宋" w:hAnsi="仿宋" w:eastAsia="仿宋"/>
          <w:sz w:val="24"/>
        </w:rPr>
        <w:t>200135。</w:t>
      </w:r>
    </w:p>
    <w:p>
      <w:pPr>
        <w:spacing w:line="360" w:lineRule="auto"/>
        <w:rPr>
          <w:rFonts w:ascii="仿宋" w:hAnsi="仿宋" w:eastAsia="仿宋"/>
          <w:kern w:val="0"/>
          <w:sz w:val="24"/>
        </w:rPr>
      </w:pPr>
      <w:r>
        <w:rPr>
          <w:rFonts w:ascii="仿宋" w:hAnsi="仿宋" w:eastAsia="仿宋"/>
          <w:kern w:val="0"/>
          <w:sz w:val="24"/>
        </w:rPr>
        <w:t>　　中国证券投资基金业协会：网址：</w:t>
      </w:r>
      <w:r>
        <w:fldChar w:fldCharType="begin"/>
      </w:r>
      <w:r>
        <w:instrText xml:space="preserve"> HYPERLINK "http://www.amac.org.cn/" </w:instrText>
      </w:r>
      <w:r>
        <w:fldChar w:fldCharType="separate"/>
      </w:r>
      <w:r>
        <w:rPr>
          <w:rFonts w:ascii="仿宋" w:hAnsi="仿宋" w:eastAsia="仿宋"/>
          <w:color w:val="0000FF"/>
          <w:kern w:val="0"/>
          <w:sz w:val="24"/>
          <w:u w:val="single"/>
        </w:rPr>
        <w:t>www.amac.org.cn</w:t>
      </w:r>
      <w:r>
        <w:rPr>
          <w:rFonts w:ascii="仿宋" w:hAnsi="仿宋" w:eastAsia="仿宋"/>
          <w:color w:val="0000FF"/>
          <w:kern w:val="0"/>
          <w:sz w:val="24"/>
          <w:u w:val="single"/>
        </w:rPr>
        <w:fldChar w:fldCharType="end"/>
      </w:r>
      <w:r>
        <w:rPr>
          <w:rFonts w:ascii="仿宋" w:hAnsi="仿宋" w:eastAsia="仿宋"/>
          <w:kern w:val="0"/>
          <w:sz w:val="24"/>
        </w:rPr>
        <w:t>，电子邮箱tousu@amac.org.cn，地址：北京市西城区金融大街22号交通银行大厦B座9层，邮编：100033电话：010-58352888（中国证券投资者呼叫中心）、</w:t>
      </w:r>
      <w:r>
        <w:fldChar w:fldCharType="begin"/>
      </w:r>
      <w:r>
        <w:instrText xml:space="preserve"> HYPERLINK "http://www.sipf.com" </w:instrText>
      </w:r>
      <w:r>
        <w:fldChar w:fldCharType="separate"/>
      </w:r>
      <w:r>
        <w:rPr>
          <w:rFonts w:ascii="仿宋" w:hAnsi="仿宋" w:eastAsia="仿宋"/>
          <w:color w:val="0000FF"/>
          <w:kern w:val="0"/>
          <w:sz w:val="24"/>
          <w:u w:val="single"/>
        </w:rPr>
        <w:t>www.sipf.com</w:t>
      </w:r>
      <w:r>
        <w:rPr>
          <w:rFonts w:ascii="仿宋" w:hAnsi="仿宋" w:eastAsia="仿宋"/>
          <w:color w:val="0000FF"/>
          <w:kern w:val="0"/>
          <w:sz w:val="24"/>
          <w:u w:val="single"/>
        </w:rPr>
        <w:fldChar w:fldCharType="end"/>
      </w:r>
      <w:r>
        <w:rPr>
          <w:rFonts w:ascii="仿宋" w:hAnsi="仿宋" w:eastAsia="仿宋"/>
          <w:kern w:val="0"/>
          <w:sz w:val="24"/>
        </w:rPr>
        <w:t>(中国证券投资者保护网)。</w:t>
      </w:r>
    </w:p>
    <w:p>
      <w:pPr>
        <w:spacing w:line="360" w:lineRule="auto"/>
        <w:rPr>
          <w:rFonts w:ascii="仿宋" w:hAnsi="仿宋" w:eastAsia="仿宋"/>
          <w:kern w:val="0"/>
          <w:sz w:val="24"/>
        </w:rPr>
      </w:pPr>
      <w:r>
        <w:rPr>
          <w:rFonts w:ascii="仿宋" w:hAnsi="仿宋" w:eastAsia="仿宋"/>
          <w:kern w:val="0"/>
          <w:sz w:val="24"/>
        </w:rPr>
        <w:t>　　（三）因基金合同而产生的或与基金合同有关的一切争议，如经协商或调解不能解决的，基金投资人可提交中国国际经济贸易仲裁委员会根据当时有效的仲裁规则进行仲裁。仲裁地点为基金合同约定的地点。仲裁裁决是终局的，对各方当事人均有约束力。</w:t>
      </w:r>
    </w:p>
    <w:p>
      <w:pPr>
        <w:spacing w:line="360" w:lineRule="auto"/>
        <w:ind w:firstLine="480" w:firstLineChars="200"/>
        <w:rPr>
          <w:rFonts w:ascii="仿宋" w:hAnsi="仿宋" w:eastAsia="仿宋"/>
          <w:kern w:val="0"/>
          <w:sz w:val="24"/>
        </w:rPr>
      </w:pPr>
      <w:r>
        <w:rPr>
          <w:rFonts w:ascii="仿宋" w:hAnsi="仿宋" w:eastAsia="仿宋"/>
          <w:kern w:val="0"/>
          <w:sz w:val="24"/>
        </w:rPr>
        <w:t>投资人在投资基金前应认真阅读《基金合同》、《招募说明书》等基金法律文件，选择与自身风险承受能力相适应的基金。本公司和基金管理人承诺投资人利益优先，以诚实信用、勤勉尽责的态度为投资人提供服务，但不能保证基金一定盈利，也不能保证基金的最低收益。投资人可登录中国证监会网站（www.csrc.gov.cn）查询基金销售机构名录，核实本公司基金销售资格。</w:t>
      </w:r>
    </w:p>
    <w:p>
      <w:pPr>
        <w:spacing w:line="360" w:lineRule="auto"/>
        <w:rPr>
          <w:rFonts w:ascii="仿宋" w:hAnsi="仿宋" w:eastAsia="仿宋"/>
          <w:kern w:val="0"/>
          <w:sz w:val="24"/>
        </w:rPr>
      </w:pPr>
    </w:p>
    <w:p>
      <w:pPr>
        <w:spacing w:line="360" w:lineRule="auto"/>
        <w:rPr>
          <w:rFonts w:ascii="仿宋" w:hAnsi="仿宋" w:eastAsia="仿宋"/>
          <w:b/>
          <w:color w:val="000000"/>
          <w:sz w:val="24"/>
        </w:rPr>
      </w:pPr>
      <w:r>
        <w:rPr>
          <w:rFonts w:hint="eastAsia" w:ascii="仿宋" w:hAnsi="仿宋" w:eastAsia="仿宋"/>
          <w:b/>
          <w:kern w:val="0"/>
          <w:sz w:val="24"/>
        </w:rPr>
        <w:t>基金销售机构名称：中银国际证券股份有限公司</w:t>
      </w:r>
      <w:r>
        <w:rPr>
          <w:rFonts w:ascii="仿宋" w:hAnsi="仿宋" w:eastAsia="仿宋"/>
          <w:b/>
          <w:kern w:val="0"/>
          <w:sz w:val="24"/>
        </w:rPr>
        <w:t xml:space="preserve">  </w:t>
      </w:r>
      <w:r>
        <w:rPr>
          <w:rFonts w:hint="eastAsia" w:ascii="仿宋" w:hAnsi="仿宋" w:eastAsia="仿宋"/>
          <w:b/>
          <w:kern w:val="0"/>
          <w:sz w:val="24"/>
        </w:rPr>
        <w:t>网址：</w:t>
      </w:r>
      <w:r>
        <w:fldChar w:fldCharType="begin"/>
      </w:r>
      <w:r>
        <w:instrText xml:space="preserve"> HYPERLINK "http://www.bocichina.com" </w:instrText>
      </w:r>
      <w:r>
        <w:fldChar w:fldCharType="separate"/>
      </w:r>
      <w:r>
        <w:rPr>
          <w:rStyle w:val="23"/>
          <w:rFonts w:ascii="仿宋" w:hAnsi="仿宋" w:eastAsia="仿宋"/>
          <w:b/>
          <w:color w:val="000000"/>
          <w:sz w:val="24"/>
        </w:rPr>
        <w:t>www.bocichina.com</w:t>
      </w:r>
      <w:r>
        <w:rPr>
          <w:rStyle w:val="23"/>
          <w:rFonts w:ascii="仿宋" w:hAnsi="仿宋" w:eastAsia="仿宋"/>
          <w:b/>
          <w:color w:val="000000"/>
          <w:sz w:val="24"/>
        </w:rPr>
        <w:fldChar w:fldCharType="end"/>
      </w:r>
    </w:p>
    <w:p>
      <w:pPr>
        <w:spacing w:line="360" w:lineRule="auto"/>
        <w:rPr>
          <w:rFonts w:ascii="仿宋" w:hAnsi="仿宋" w:eastAsia="仿宋"/>
          <w:b/>
          <w:color w:val="000000"/>
          <w:sz w:val="24"/>
        </w:rPr>
      </w:pPr>
      <w:r>
        <w:rPr>
          <w:rFonts w:hint="eastAsia" w:ascii="仿宋" w:hAnsi="仿宋" w:eastAsia="仿宋"/>
          <w:b/>
          <w:color w:val="000000"/>
          <w:sz w:val="24"/>
        </w:rPr>
        <w:t>公司地址：上海市浦东新区银城中路</w:t>
      </w:r>
      <w:r>
        <w:rPr>
          <w:rFonts w:ascii="仿宋" w:hAnsi="仿宋" w:eastAsia="仿宋"/>
          <w:b/>
          <w:color w:val="000000"/>
          <w:sz w:val="24"/>
        </w:rPr>
        <w:t xml:space="preserve">200号中银大厦39F  邮编：200121    </w:t>
      </w:r>
    </w:p>
    <w:p>
      <w:pPr>
        <w:spacing w:line="360" w:lineRule="auto"/>
        <w:rPr>
          <w:rFonts w:ascii="仿宋" w:hAnsi="仿宋" w:eastAsia="仿宋"/>
          <w:b/>
          <w:color w:val="000000"/>
          <w:sz w:val="24"/>
        </w:rPr>
      </w:pPr>
      <w:r>
        <w:rPr>
          <w:rFonts w:hint="eastAsia" w:ascii="仿宋" w:hAnsi="仿宋" w:eastAsia="仿宋"/>
          <w:b/>
          <w:color w:val="000000"/>
          <w:sz w:val="24"/>
        </w:rPr>
        <w:t>客服电话：</w:t>
      </w:r>
      <w:r>
        <w:rPr>
          <w:rFonts w:hint="eastAsia" w:ascii="仿宋_GB2312" w:hAnsi="仿宋_GB2312" w:eastAsia="仿宋_GB2312" w:cs="仿宋_GB2312"/>
          <w:b/>
          <w:bCs/>
          <w:kern w:val="0"/>
          <w:sz w:val="24"/>
          <w:lang w:val="en-US" w:eastAsia="zh-CN"/>
        </w:rPr>
        <w:t>956026</w:t>
      </w:r>
      <w:r>
        <w:rPr>
          <w:rFonts w:hint="eastAsia" w:ascii="仿宋_GB2312" w:hAnsi="仿宋_GB2312" w:eastAsia="仿宋_GB2312" w:cs="仿宋_GB2312"/>
          <w:b/>
          <w:bCs/>
          <w:kern w:val="0"/>
          <w:sz w:val="24"/>
          <w:lang w:eastAsia="zh-CN"/>
        </w:rPr>
        <w:t>、</w:t>
      </w:r>
      <w:r>
        <w:rPr>
          <w:rFonts w:ascii="仿宋" w:hAnsi="仿宋" w:eastAsia="仿宋"/>
          <w:b/>
          <w:color w:val="000000"/>
          <w:sz w:val="24"/>
        </w:rPr>
        <w:t>400-620-8888</w:t>
      </w:r>
    </w:p>
    <w:p>
      <w:pPr>
        <w:spacing w:line="360" w:lineRule="auto"/>
        <w:ind w:firstLine="472" w:firstLineChars="196"/>
        <w:rPr>
          <w:rFonts w:ascii="仿宋" w:hAnsi="仿宋" w:eastAsia="仿宋"/>
          <w:sz w:val="24"/>
        </w:rPr>
      </w:pPr>
      <w:r>
        <w:rPr>
          <w:rFonts w:hint="eastAsia" w:ascii="仿宋" w:hAnsi="仿宋" w:eastAsia="仿宋"/>
          <w:b/>
          <w:sz w:val="24"/>
        </w:rPr>
        <w:t>本投资者确认已详细阅读并完全理解了上述的各项内容，在签署页签署视同签署认可。</w:t>
      </w:r>
    </w:p>
    <w:p>
      <w:pPr>
        <w:widowControl/>
        <w:jc w:val="left"/>
        <w:rPr>
          <w:rFonts w:ascii="仿宋" w:hAnsi="仿宋" w:eastAsia="仿宋"/>
          <w:b/>
          <w:kern w:val="0"/>
          <w:sz w:val="28"/>
          <w:szCs w:val="28"/>
        </w:rPr>
      </w:pPr>
    </w:p>
    <w:p>
      <w:pPr>
        <w:widowControl/>
        <w:jc w:val="left"/>
        <w:rPr>
          <w:rFonts w:ascii="仿宋" w:hAnsi="仿宋" w:eastAsia="仿宋"/>
          <w:b/>
          <w:kern w:val="0"/>
          <w:sz w:val="28"/>
          <w:szCs w:val="28"/>
        </w:rPr>
      </w:pPr>
    </w:p>
    <w:p>
      <w:pPr>
        <w:widowControl/>
        <w:jc w:val="left"/>
        <w:rPr>
          <w:rFonts w:ascii="仿宋" w:hAnsi="仿宋" w:eastAsia="仿宋"/>
          <w:b/>
          <w:kern w:val="0"/>
          <w:sz w:val="28"/>
          <w:szCs w:val="28"/>
        </w:rPr>
      </w:pPr>
    </w:p>
    <w:p>
      <w:pPr>
        <w:widowControl/>
        <w:jc w:val="left"/>
        <w:rPr>
          <w:rFonts w:ascii="仿宋" w:hAnsi="仿宋" w:eastAsia="仿宋"/>
          <w:b/>
          <w:kern w:val="0"/>
          <w:sz w:val="28"/>
          <w:szCs w:val="28"/>
        </w:rPr>
      </w:pPr>
    </w:p>
    <w:p>
      <w:pPr>
        <w:pStyle w:val="2"/>
      </w:pPr>
    </w:p>
    <w:p>
      <w:pPr>
        <w:pStyle w:val="19"/>
        <w:numPr>
          <w:ilvl w:val="0"/>
          <w:numId w:val="1"/>
        </w:numPr>
        <w:rPr>
          <w:rFonts w:ascii="仿宋" w:hAnsi="仿宋" w:eastAsia="仿宋"/>
        </w:rPr>
      </w:pPr>
      <w:bookmarkStart w:id="155" w:name="_Toc18134"/>
      <w:bookmarkStart w:id="156" w:name="_Toc17111"/>
      <w:bookmarkStart w:id="157" w:name="_Toc30265"/>
      <w:bookmarkStart w:id="158" w:name="_Toc1306"/>
      <w:bookmarkStart w:id="159" w:name="_Toc16598"/>
      <w:bookmarkStart w:id="160" w:name="_Toc19336"/>
      <w:bookmarkStart w:id="161" w:name="_Toc10470"/>
      <w:bookmarkStart w:id="162" w:name="_Toc4219"/>
      <w:bookmarkStart w:id="163" w:name="_Toc1107"/>
      <w:bookmarkStart w:id="164" w:name="_Toc17426"/>
      <w:bookmarkStart w:id="165" w:name="_Toc14595"/>
      <w:r>
        <w:rPr>
          <w:rFonts w:hint="eastAsia" w:ascii="仿宋" w:hAnsi="仿宋" w:eastAsia="仿宋"/>
        </w:rPr>
        <w:t>指定交易协议</w:t>
      </w:r>
      <w:bookmarkEnd w:id="155"/>
      <w:bookmarkEnd w:id="156"/>
      <w:bookmarkEnd w:id="157"/>
      <w:bookmarkEnd w:id="158"/>
      <w:bookmarkEnd w:id="159"/>
      <w:bookmarkEnd w:id="160"/>
      <w:bookmarkEnd w:id="161"/>
      <w:bookmarkEnd w:id="162"/>
      <w:bookmarkEnd w:id="163"/>
      <w:bookmarkEnd w:id="164"/>
      <w:bookmarkEnd w:id="165"/>
    </w:p>
    <w:p>
      <w:pPr>
        <w:keepNext w:val="0"/>
        <w:keepLines w:val="0"/>
        <w:pageBreakBefore w:val="0"/>
        <w:widowControl/>
        <w:suppressLineNumbers w:val="0"/>
        <w:kinsoku/>
        <w:wordWrap/>
        <w:overflowPunct/>
        <w:topLinePunct w:val="0"/>
        <w:autoSpaceDE/>
        <w:autoSpaceDN/>
        <w:bidi w:val="0"/>
        <w:adjustRightInd/>
        <w:snapToGrid/>
        <w:spacing w:line="560" w:lineRule="exact"/>
        <w:ind w:firstLine="480" w:firstLineChars="200"/>
        <w:jc w:val="both"/>
        <w:textAlignment w:val="auto"/>
        <w:rPr>
          <w:sz w:val="24"/>
          <w:szCs w:val="24"/>
        </w:rPr>
      </w:pPr>
      <w:r>
        <w:rPr>
          <w:rFonts w:ascii="仿宋_GB2312" w:hAnsi="仿宋_GB2312" w:eastAsia="仿宋_GB2312" w:cs="仿宋_GB2312"/>
          <w:color w:val="000000"/>
          <w:sz w:val="24"/>
          <w:szCs w:val="24"/>
          <w:lang w:val="en-US" w:eastAsia="zh-CN" w:bidi="ar"/>
        </w:rPr>
        <w:t>第一条 甲乙双方根据《上海证券交易所指定交易实施细则》及有关规定，经过自愿协商，</w:t>
      </w:r>
      <w:r>
        <w:rPr>
          <w:rFonts w:ascii="仿宋_GB2312" w:hAnsi="仿宋_GB2312" w:eastAsia="仿宋_GB2312" w:cs="仿宋_GB2312"/>
          <w:color w:val="000000"/>
          <w:sz w:val="24"/>
          <w:szCs w:val="24"/>
          <w:u w:val="none"/>
          <w:lang w:val="en-US" w:eastAsia="zh-CN" w:bidi="ar"/>
        </w:rPr>
        <w:t>甲</w:t>
      </w:r>
      <w:r>
        <w:rPr>
          <w:rFonts w:hint="eastAsia" w:ascii="仿宋_GB2312" w:hAnsi="仿宋_GB2312" w:eastAsia="仿宋_GB2312" w:cs="仿宋_GB2312"/>
          <w:color w:val="000000"/>
          <w:sz w:val="24"/>
          <w:szCs w:val="24"/>
          <w:u w:val="none"/>
          <w:lang w:val="en-US" w:eastAsia="zh-CN" w:bidi="ar"/>
        </w:rPr>
        <w:t>方</w:t>
      </w:r>
      <w:r>
        <w:rPr>
          <w:rFonts w:hint="eastAsia" w:ascii="仿宋_GB2312" w:hAnsi="仿宋_GB2312" w:eastAsia="仿宋_GB2312" w:cs="仿宋_GB2312"/>
          <w:color w:val="000000"/>
          <w:sz w:val="24"/>
          <w:szCs w:val="24"/>
          <w:u w:val="single"/>
          <w:lang w:val="en-US" w:eastAsia="zh-CN" w:bidi="ar"/>
        </w:rPr>
        <w:t xml:space="preserve">       </w:t>
      </w:r>
      <w:r>
        <w:rPr>
          <w:rFonts w:ascii="仿宋_GB2312" w:hAnsi="仿宋_GB2312" w:eastAsia="仿宋_GB2312" w:cs="仿宋_GB2312"/>
          <w:color w:val="000000"/>
          <w:sz w:val="24"/>
          <w:szCs w:val="24"/>
          <w:lang w:val="en-US" w:eastAsia="zh-CN" w:bidi="ar"/>
        </w:rPr>
        <w:t>选择</w:t>
      </w:r>
      <w:r>
        <w:rPr>
          <w:rFonts w:hint="eastAsia" w:ascii="仿宋_GB2312" w:hAnsi="仿宋_GB2312" w:eastAsia="仿宋_GB2312" w:cs="仿宋_GB2312"/>
          <w:color w:val="000000"/>
          <w:sz w:val="24"/>
          <w:szCs w:val="24"/>
          <w:lang w:val="en-US" w:eastAsia="zh-CN" w:bidi="ar"/>
        </w:rPr>
        <w:t>乙方</w:t>
      </w:r>
      <w:r>
        <w:rPr>
          <w:rFonts w:hint="eastAsia" w:ascii="仿宋_GB2312" w:hAnsi="仿宋_GB2312" w:eastAsia="仿宋_GB2312" w:cs="仿宋_GB2312"/>
          <w:color w:val="000000"/>
          <w:sz w:val="24"/>
          <w:szCs w:val="24"/>
          <w:u w:val="single"/>
          <w:lang w:val="en-US" w:eastAsia="zh-CN" w:bidi="ar"/>
        </w:rPr>
        <w:t>中银国际证券股份有限</w:t>
      </w:r>
      <w:r>
        <w:rPr>
          <w:rFonts w:ascii="仿宋_GB2312" w:hAnsi="仿宋_GB2312" w:eastAsia="仿宋_GB2312" w:cs="仿宋_GB2312"/>
          <w:color w:val="000000"/>
          <w:sz w:val="24"/>
          <w:szCs w:val="24"/>
          <w:u w:val="single"/>
          <w:lang w:val="en-US" w:eastAsia="zh-CN" w:bidi="ar"/>
        </w:rPr>
        <w:t>公司</w:t>
      </w:r>
      <w:r>
        <w:rPr>
          <w:rFonts w:ascii="仿宋_GB2312" w:hAnsi="仿宋_GB2312" w:eastAsia="仿宋_GB2312" w:cs="仿宋_GB2312"/>
          <w:color w:val="000000"/>
          <w:sz w:val="24"/>
          <w:szCs w:val="24"/>
          <w:lang w:val="en-US" w:eastAsia="zh-CN" w:bidi="ar"/>
        </w:rPr>
        <w:t>为其证券指定交易的代理商，并以其所属的</w:t>
      </w:r>
      <w:r>
        <w:rPr>
          <w:rFonts w:hint="eastAsia" w:ascii="仿宋_GB2312" w:hAnsi="仿宋_GB2312" w:eastAsia="仿宋_GB2312" w:cs="仿宋_GB2312"/>
          <w:color w:val="000000"/>
          <w:sz w:val="24"/>
          <w:szCs w:val="24"/>
          <w:lang w:val="en-US" w:eastAsia="zh-CN" w:bidi="ar"/>
        </w:rPr>
        <w:t>证券营业部</w:t>
      </w:r>
      <w:r>
        <w:rPr>
          <w:rFonts w:ascii="仿宋_GB2312" w:hAnsi="仿宋_GB2312" w:eastAsia="仿宋_GB2312" w:cs="仿宋_GB2312"/>
          <w:color w:val="000000"/>
          <w:sz w:val="24"/>
          <w:szCs w:val="24"/>
          <w:lang w:val="en-US" w:eastAsia="zh-CN" w:bidi="ar"/>
        </w:rPr>
        <w:t>为指定交易点。乙方经审核同意接受甲方委托。</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480" w:firstLineChars="200"/>
        <w:jc w:val="both"/>
        <w:textAlignment w:val="auto"/>
        <w:rPr>
          <w:sz w:val="24"/>
          <w:szCs w:val="24"/>
        </w:rPr>
      </w:pPr>
      <w:r>
        <w:rPr>
          <w:rFonts w:ascii="仿宋_GB2312" w:hAnsi="仿宋_GB2312" w:eastAsia="仿宋_GB2312" w:cs="仿宋_GB2312"/>
          <w:color w:val="000000"/>
          <w:sz w:val="24"/>
          <w:szCs w:val="24"/>
          <w:lang w:val="en-US" w:eastAsia="zh-CN" w:bidi="ar"/>
        </w:rPr>
        <w:t>第二条 指定交易的证券品种范围，以在上海证券交易所上市交易的证券为限。</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480" w:firstLineChars="200"/>
        <w:jc w:val="both"/>
        <w:textAlignment w:val="auto"/>
        <w:rPr>
          <w:sz w:val="24"/>
          <w:szCs w:val="24"/>
        </w:rPr>
      </w:pPr>
      <w:r>
        <w:rPr>
          <w:rFonts w:ascii="仿宋_GB2312" w:hAnsi="仿宋_GB2312" w:eastAsia="仿宋_GB2312" w:cs="仿宋_GB2312"/>
          <w:color w:val="000000"/>
          <w:sz w:val="24"/>
          <w:szCs w:val="24"/>
          <w:lang w:val="en-US" w:eastAsia="zh-CN" w:bidi="ar"/>
        </w:rPr>
        <w:t>第三条 本协议书签订当日，乙方应为甲方完成指定交易账户的申报指令，如因故延迟，乙方应告</w:t>
      </w:r>
      <w:r>
        <w:rPr>
          <w:rFonts w:hint="eastAsia" w:ascii="仿宋_GB2312" w:hAnsi="仿宋_GB2312" w:eastAsia="仿宋_GB2312" w:cs="仿宋_GB2312"/>
          <w:color w:val="000000"/>
          <w:sz w:val="24"/>
          <w:szCs w:val="24"/>
          <w:lang w:val="en-US" w:eastAsia="zh-CN" w:bidi="ar"/>
        </w:rPr>
        <w:t>知</w:t>
      </w:r>
      <w:r>
        <w:rPr>
          <w:rFonts w:ascii="仿宋_GB2312" w:hAnsi="仿宋_GB2312" w:eastAsia="仿宋_GB2312" w:cs="仿宋_GB2312"/>
          <w:color w:val="000000"/>
          <w:sz w:val="24"/>
          <w:szCs w:val="24"/>
          <w:lang w:val="en-US" w:eastAsia="zh-CN" w:bidi="ar"/>
        </w:rPr>
        <w:t>甲方，并最迟于本协议书签订之日起下一个交易日完成该指定交易账户的申报指令。</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480" w:firstLineChars="200"/>
        <w:jc w:val="both"/>
        <w:textAlignment w:val="auto"/>
        <w:rPr>
          <w:sz w:val="24"/>
          <w:szCs w:val="24"/>
        </w:rPr>
      </w:pPr>
      <w:r>
        <w:rPr>
          <w:rFonts w:ascii="仿宋_GB2312" w:hAnsi="仿宋_GB2312" w:eastAsia="仿宋_GB2312" w:cs="仿宋_GB2312"/>
          <w:color w:val="000000"/>
          <w:sz w:val="24"/>
          <w:szCs w:val="24"/>
          <w:lang w:val="en-US" w:eastAsia="zh-CN" w:bidi="ar"/>
        </w:rPr>
        <w:t>第四条 甲方在乙方处办理指定交易生效后，其证券账户内的证券即同时在乙方处托管。乙方根据上海证券交易所及中国证券登记结算公司上海分公司传送的指定交易证券账户的证券余额，为甲方建立明细账，用于进行相关证券的结算过户。</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480" w:firstLineChars="200"/>
        <w:jc w:val="both"/>
        <w:textAlignment w:val="auto"/>
        <w:rPr>
          <w:sz w:val="24"/>
          <w:szCs w:val="24"/>
        </w:rPr>
      </w:pPr>
      <w:r>
        <w:rPr>
          <w:rFonts w:ascii="仿宋_GB2312" w:hAnsi="仿宋_GB2312" w:eastAsia="仿宋_GB2312" w:cs="仿宋_GB2312"/>
          <w:color w:val="000000"/>
          <w:sz w:val="24"/>
          <w:szCs w:val="24"/>
          <w:lang w:val="en-US" w:eastAsia="zh-CN" w:bidi="ar"/>
        </w:rPr>
        <w:t>第五条 甲方在指定交易期间的证券买卖均需通过乙方代理，并有权享有乙方提供的交易查询、代领证券红利、证券余额对账等服务。乙方提供其它服务项目的，应与甲方另订协议。</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480" w:firstLineChars="200"/>
        <w:jc w:val="both"/>
        <w:textAlignment w:val="auto"/>
        <w:rPr>
          <w:sz w:val="24"/>
          <w:szCs w:val="24"/>
        </w:rPr>
      </w:pPr>
      <w:r>
        <w:rPr>
          <w:rFonts w:ascii="仿宋_GB2312" w:hAnsi="仿宋_GB2312" w:eastAsia="仿宋_GB2312" w:cs="仿宋_GB2312"/>
          <w:color w:val="000000"/>
          <w:sz w:val="24"/>
          <w:szCs w:val="24"/>
          <w:lang w:val="en-US" w:eastAsia="zh-CN" w:bidi="ar"/>
        </w:rPr>
        <w:t>第六条 甲方证券账户内的证券余额一经托管在乙方处，须遵守乙方有关严禁证券账户“卖空”的规定。</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480" w:firstLineChars="200"/>
        <w:jc w:val="both"/>
        <w:textAlignment w:val="auto"/>
        <w:rPr>
          <w:sz w:val="24"/>
          <w:szCs w:val="24"/>
        </w:rPr>
      </w:pPr>
      <w:r>
        <w:rPr>
          <w:rFonts w:ascii="仿宋_GB2312" w:hAnsi="仿宋_GB2312" w:eastAsia="仿宋_GB2312" w:cs="仿宋_GB2312"/>
          <w:color w:val="000000"/>
          <w:sz w:val="24"/>
          <w:szCs w:val="24"/>
          <w:lang w:val="en-US" w:eastAsia="zh-CN" w:bidi="ar"/>
        </w:rPr>
        <w:t>第七条 甲方证券账户一旦遗失，应先行向乙方挂失，由乙方及时采取措施防止该账户再被他人使用。甲方持乙方挂失证明到中国证券登记结算公司上海分公司及其代理机构申请补办证券账户。账户一经补办，甲方应持补办账户在乙方处办理证券余额的转户手续。</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480" w:firstLineChars="200"/>
        <w:jc w:val="both"/>
        <w:textAlignment w:val="auto"/>
        <w:rPr>
          <w:sz w:val="24"/>
          <w:szCs w:val="24"/>
        </w:rPr>
      </w:pPr>
      <w:r>
        <w:rPr>
          <w:rFonts w:ascii="仿宋_GB2312" w:hAnsi="仿宋_GB2312" w:eastAsia="仿宋_GB2312" w:cs="仿宋_GB2312"/>
          <w:color w:val="000000"/>
          <w:sz w:val="24"/>
          <w:szCs w:val="24"/>
          <w:lang w:val="en-US" w:eastAsia="zh-CN" w:bidi="ar"/>
        </w:rPr>
        <w:t>第八条 甲方根据需要可申请撤销在乙方处的指定交易（因甲方未履行交易交收</w:t>
      </w:r>
      <w:r>
        <w:rPr>
          <w:rFonts w:hint="eastAsia" w:ascii="仿宋_GB2312" w:hAnsi="仿宋_GB2312" w:eastAsia="仿宋_GB2312" w:cs="仿宋_GB2312"/>
          <w:color w:val="000000"/>
          <w:sz w:val="24"/>
          <w:szCs w:val="24"/>
          <w:lang w:val="en-US" w:eastAsia="zh-CN" w:bidi="ar"/>
        </w:rPr>
        <w:t>义务</w:t>
      </w:r>
      <w:r>
        <w:rPr>
          <w:rFonts w:ascii="仿宋_GB2312" w:hAnsi="仿宋_GB2312" w:eastAsia="仿宋_GB2312" w:cs="仿宋_GB2312"/>
          <w:color w:val="000000"/>
          <w:sz w:val="24"/>
          <w:szCs w:val="24"/>
          <w:lang w:val="en-US" w:eastAsia="zh-CN" w:bidi="ar"/>
        </w:rPr>
        <w:t>等情况除外），乙方应在甲方申请的当日为其办理撤销指定交易申报。</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480" w:firstLineChars="200"/>
        <w:jc w:val="both"/>
        <w:textAlignment w:val="auto"/>
        <w:rPr>
          <w:sz w:val="24"/>
          <w:szCs w:val="24"/>
        </w:rPr>
      </w:pPr>
      <w:r>
        <w:rPr>
          <w:rFonts w:ascii="仿宋_GB2312" w:hAnsi="仿宋_GB2312" w:eastAsia="仿宋_GB2312" w:cs="仿宋_GB2312"/>
          <w:color w:val="000000"/>
          <w:sz w:val="24"/>
          <w:szCs w:val="24"/>
          <w:lang w:val="en-US" w:eastAsia="zh-CN" w:bidi="ar"/>
        </w:rPr>
        <w:t>第九条 甲乙双方在指定交易期间，应遵守国家有关法律法规以及上海证券交易所及中国证券登记结算公司上海分公司的各项业务规则。</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480" w:firstLineChars="200"/>
        <w:jc w:val="both"/>
        <w:textAlignment w:val="auto"/>
        <w:rPr>
          <w:sz w:val="24"/>
          <w:szCs w:val="24"/>
        </w:rPr>
      </w:pPr>
      <w:r>
        <w:rPr>
          <w:rFonts w:ascii="仿宋_GB2312" w:hAnsi="仿宋_GB2312" w:eastAsia="仿宋_GB2312" w:cs="仿宋_GB2312"/>
          <w:color w:val="000000"/>
          <w:sz w:val="24"/>
          <w:szCs w:val="24"/>
          <w:lang w:val="en-US" w:eastAsia="zh-CN" w:bidi="ar"/>
        </w:rPr>
        <w:t>第十条 甲方若在乙方处办理指定交易之前已经在其他券商处办理指定交易，甲方应及时在原指定处撤销指定。乙方对甲方因其在原指定处有关手续办理不妥影响甲方在乙方处的正常交易而遭致的损失不承担任何责任。</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480" w:firstLineChars="200"/>
        <w:jc w:val="both"/>
        <w:textAlignment w:val="auto"/>
        <w:rPr>
          <w:sz w:val="24"/>
          <w:szCs w:val="24"/>
        </w:rPr>
      </w:pPr>
      <w:r>
        <w:rPr>
          <w:rFonts w:ascii="仿宋_GB2312" w:hAnsi="仿宋_GB2312" w:eastAsia="仿宋_GB2312" w:cs="仿宋_GB2312"/>
          <w:color w:val="000000"/>
          <w:sz w:val="24"/>
          <w:szCs w:val="24"/>
          <w:lang w:val="en-US" w:eastAsia="zh-CN" w:bidi="ar"/>
        </w:rPr>
        <w:t>第十一条 本协议自甲乙双方签订之日起生效，直至乙方撤销指定交易</w:t>
      </w:r>
      <w:r>
        <w:rPr>
          <w:rFonts w:hint="eastAsia" w:ascii="仿宋_GB2312" w:hAnsi="仿宋_GB2312" w:eastAsia="仿宋_GB2312" w:cs="仿宋_GB2312"/>
          <w:color w:val="000000"/>
          <w:sz w:val="24"/>
          <w:szCs w:val="24"/>
          <w:lang w:val="en-US" w:eastAsia="zh-CN" w:bidi="ar"/>
        </w:rPr>
        <w:t>为</w:t>
      </w:r>
      <w:r>
        <w:rPr>
          <w:rFonts w:ascii="仿宋_GB2312" w:hAnsi="仿宋_GB2312" w:eastAsia="仿宋_GB2312" w:cs="仿宋_GB2312"/>
          <w:color w:val="000000"/>
          <w:sz w:val="24"/>
          <w:szCs w:val="24"/>
          <w:lang w:val="en-US" w:eastAsia="zh-CN" w:bidi="ar"/>
        </w:rPr>
        <w:t>止。</w:t>
      </w:r>
    </w:p>
    <w:p/>
    <w:p>
      <w:pPr>
        <w:spacing w:line="360" w:lineRule="auto"/>
        <w:ind w:firstLine="411" w:firstLineChars="196"/>
        <w:rPr>
          <w:rFonts w:ascii="仿宋" w:hAnsi="仿宋" w:eastAsia="仿宋"/>
          <w:sz w:val="24"/>
        </w:rPr>
      </w:pPr>
      <w:r>
        <w:rPr>
          <w:rFonts w:hint="eastAsia"/>
        </w:rPr>
        <w:t xml:space="preserve"> </w:t>
      </w:r>
      <w:r>
        <w:rPr>
          <w:rFonts w:hint="eastAsia" w:ascii="仿宋" w:hAnsi="仿宋" w:eastAsia="仿宋"/>
          <w:b/>
          <w:sz w:val="24"/>
        </w:rPr>
        <w:t>本投资者确认已详细阅读并完全理解了上述的各项内容，在签署页签署视同签署认可。</w:t>
      </w:r>
    </w:p>
    <w:p/>
    <w:p/>
    <w:p/>
    <w:p/>
    <w:p/>
    <w:p>
      <w:pPr>
        <w:widowControl/>
        <w:spacing w:line="360" w:lineRule="auto"/>
        <w:jc w:val="left"/>
        <w:rPr>
          <w:rFonts w:ascii="仿宋" w:hAnsi="仿宋" w:eastAsia="仿宋"/>
        </w:rPr>
      </w:pPr>
    </w:p>
    <w:p>
      <w:pPr>
        <w:pStyle w:val="2"/>
        <w:rPr>
          <w:rFonts w:ascii="仿宋" w:hAnsi="仿宋" w:eastAsia="仿宋"/>
        </w:rPr>
      </w:pPr>
    </w:p>
    <w:p>
      <w:pPr>
        <w:pStyle w:val="2"/>
        <w:rPr>
          <w:rFonts w:ascii="仿宋" w:hAnsi="仿宋" w:eastAsia="仿宋"/>
        </w:rPr>
      </w:pPr>
    </w:p>
    <w:p>
      <w:pPr>
        <w:pStyle w:val="2"/>
        <w:rPr>
          <w:rFonts w:ascii="仿宋" w:hAnsi="仿宋" w:eastAsia="仿宋"/>
        </w:rPr>
      </w:pPr>
    </w:p>
    <w:p>
      <w:pPr>
        <w:pStyle w:val="2"/>
        <w:rPr>
          <w:rFonts w:ascii="仿宋" w:hAnsi="仿宋" w:eastAsia="仿宋"/>
        </w:rPr>
      </w:pPr>
    </w:p>
    <w:p>
      <w:pPr>
        <w:pStyle w:val="2"/>
        <w:rPr>
          <w:rFonts w:ascii="仿宋" w:hAnsi="仿宋" w:eastAsia="仿宋"/>
        </w:rPr>
      </w:pPr>
    </w:p>
    <w:p>
      <w:pPr>
        <w:pStyle w:val="2"/>
        <w:rPr>
          <w:rFonts w:ascii="仿宋" w:hAnsi="仿宋" w:eastAsia="仿宋"/>
        </w:rPr>
      </w:pPr>
    </w:p>
    <w:p>
      <w:pPr>
        <w:pStyle w:val="2"/>
        <w:rPr>
          <w:rFonts w:ascii="仿宋" w:hAnsi="仿宋" w:eastAsia="仿宋"/>
        </w:rPr>
      </w:pPr>
    </w:p>
    <w:p>
      <w:pPr>
        <w:pStyle w:val="2"/>
        <w:rPr>
          <w:rFonts w:ascii="仿宋" w:hAnsi="仿宋" w:eastAsia="仿宋"/>
        </w:rPr>
      </w:pPr>
    </w:p>
    <w:p>
      <w:pPr>
        <w:pStyle w:val="2"/>
        <w:rPr>
          <w:rFonts w:ascii="仿宋" w:hAnsi="仿宋" w:eastAsia="仿宋"/>
        </w:rPr>
      </w:pPr>
    </w:p>
    <w:p>
      <w:pPr>
        <w:pStyle w:val="2"/>
        <w:rPr>
          <w:rFonts w:ascii="仿宋" w:hAnsi="仿宋" w:eastAsia="仿宋"/>
        </w:rPr>
      </w:pPr>
    </w:p>
    <w:p>
      <w:pPr>
        <w:pStyle w:val="2"/>
        <w:rPr>
          <w:rFonts w:ascii="仿宋" w:hAnsi="仿宋" w:eastAsia="仿宋"/>
        </w:rPr>
      </w:pPr>
    </w:p>
    <w:p>
      <w:pPr>
        <w:pStyle w:val="2"/>
        <w:rPr>
          <w:rFonts w:ascii="仿宋" w:hAnsi="仿宋" w:eastAsia="仿宋"/>
        </w:rPr>
      </w:pPr>
    </w:p>
    <w:p>
      <w:pPr>
        <w:pStyle w:val="2"/>
        <w:rPr>
          <w:rFonts w:ascii="仿宋" w:hAnsi="仿宋" w:eastAsia="仿宋"/>
        </w:rPr>
      </w:pPr>
    </w:p>
    <w:p>
      <w:pPr>
        <w:pStyle w:val="2"/>
        <w:rPr>
          <w:rFonts w:ascii="仿宋" w:hAnsi="仿宋" w:eastAsia="仿宋"/>
        </w:rPr>
      </w:pPr>
    </w:p>
    <w:p>
      <w:pPr>
        <w:pStyle w:val="2"/>
        <w:rPr>
          <w:rFonts w:ascii="仿宋" w:hAnsi="仿宋" w:eastAsia="仿宋"/>
        </w:rPr>
      </w:pPr>
    </w:p>
    <w:p>
      <w:pPr>
        <w:pStyle w:val="2"/>
        <w:rPr>
          <w:rFonts w:ascii="仿宋" w:hAnsi="仿宋" w:eastAsia="仿宋"/>
        </w:rPr>
      </w:pPr>
    </w:p>
    <w:p>
      <w:pPr>
        <w:pStyle w:val="2"/>
        <w:rPr>
          <w:rFonts w:ascii="仿宋" w:hAnsi="仿宋" w:eastAsia="仿宋"/>
        </w:rPr>
      </w:pPr>
    </w:p>
    <w:p>
      <w:pPr>
        <w:pStyle w:val="2"/>
        <w:rPr>
          <w:rFonts w:ascii="仿宋" w:hAnsi="仿宋" w:eastAsia="仿宋"/>
        </w:rPr>
      </w:pPr>
    </w:p>
    <w:p>
      <w:pPr>
        <w:pStyle w:val="2"/>
        <w:rPr>
          <w:rFonts w:ascii="仿宋" w:hAnsi="仿宋" w:eastAsia="仿宋"/>
        </w:rPr>
      </w:pPr>
    </w:p>
    <w:p>
      <w:pPr>
        <w:pStyle w:val="2"/>
        <w:rPr>
          <w:rFonts w:ascii="仿宋" w:hAnsi="仿宋" w:eastAsia="仿宋"/>
        </w:rPr>
      </w:pPr>
    </w:p>
    <w:p>
      <w:pPr>
        <w:pStyle w:val="2"/>
        <w:rPr>
          <w:rFonts w:ascii="仿宋" w:hAnsi="仿宋" w:eastAsia="仿宋"/>
        </w:rPr>
      </w:pPr>
    </w:p>
    <w:p>
      <w:pPr>
        <w:pStyle w:val="2"/>
        <w:rPr>
          <w:rFonts w:ascii="仿宋" w:hAnsi="仿宋" w:eastAsia="仿宋"/>
        </w:rPr>
      </w:pPr>
    </w:p>
    <w:p>
      <w:pPr>
        <w:pStyle w:val="2"/>
        <w:rPr>
          <w:rFonts w:ascii="仿宋" w:hAnsi="仿宋" w:eastAsia="仿宋"/>
        </w:rPr>
      </w:pPr>
    </w:p>
    <w:p>
      <w:pPr>
        <w:pStyle w:val="2"/>
        <w:rPr>
          <w:rFonts w:ascii="仿宋" w:hAnsi="仿宋" w:eastAsia="仿宋"/>
        </w:rPr>
      </w:pPr>
    </w:p>
    <w:p>
      <w:pPr>
        <w:pStyle w:val="2"/>
        <w:rPr>
          <w:rFonts w:ascii="仿宋" w:hAnsi="仿宋" w:eastAsia="仿宋"/>
        </w:rPr>
      </w:pPr>
    </w:p>
    <w:p>
      <w:pPr>
        <w:pStyle w:val="2"/>
        <w:rPr>
          <w:rFonts w:ascii="仿宋" w:hAnsi="仿宋" w:eastAsia="仿宋"/>
        </w:rPr>
      </w:pPr>
    </w:p>
    <w:p>
      <w:pPr>
        <w:pStyle w:val="2"/>
        <w:rPr>
          <w:rFonts w:ascii="仿宋" w:hAnsi="仿宋" w:eastAsia="仿宋"/>
        </w:rPr>
      </w:pPr>
    </w:p>
    <w:p>
      <w:pPr>
        <w:pStyle w:val="2"/>
        <w:rPr>
          <w:rFonts w:ascii="仿宋" w:hAnsi="仿宋" w:eastAsia="仿宋"/>
        </w:rPr>
      </w:pPr>
    </w:p>
    <w:p>
      <w:pPr>
        <w:pStyle w:val="19"/>
        <w:numPr>
          <w:ilvl w:val="0"/>
          <w:numId w:val="1"/>
        </w:numPr>
        <w:rPr>
          <w:rFonts w:ascii="仿宋" w:hAnsi="仿宋" w:eastAsia="仿宋"/>
          <w:bCs w:val="0"/>
          <w:kern w:val="0"/>
        </w:rPr>
      </w:pPr>
      <w:bookmarkStart w:id="166" w:name="_Toc3219"/>
      <w:bookmarkStart w:id="167" w:name="_Toc11278"/>
      <w:bookmarkStart w:id="168" w:name="_Toc23746"/>
      <w:bookmarkStart w:id="169" w:name="_Toc11297"/>
      <w:bookmarkStart w:id="170" w:name="_Toc3974"/>
      <w:bookmarkStart w:id="171" w:name="_Toc26852"/>
      <w:bookmarkStart w:id="172" w:name="_Toc31726"/>
      <w:bookmarkStart w:id="173" w:name="_Toc26997"/>
      <w:bookmarkStart w:id="174" w:name="_Toc159"/>
      <w:bookmarkStart w:id="175" w:name="_Toc2816"/>
      <w:bookmarkStart w:id="176" w:name="_Toc18864"/>
      <w:r>
        <w:rPr>
          <w:rFonts w:hint="eastAsia" w:ascii="仿宋" w:hAnsi="仿宋" w:eastAsia="仿宋"/>
          <w:bCs w:val="0"/>
          <w:kern w:val="0"/>
        </w:rPr>
        <w:t>新股/新债申购风险提示</w:t>
      </w:r>
      <w:bookmarkEnd w:id="166"/>
      <w:bookmarkEnd w:id="167"/>
      <w:bookmarkEnd w:id="168"/>
      <w:bookmarkEnd w:id="169"/>
      <w:bookmarkEnd w:id="170"/>
      <w:bookmarkEnd w:id="171"/>
      <w:bookmarkEnd w:id="172"/>
      <w:bookmarkEnd w:id="173"/>
      <w:bookmarkEnd w:id="174"/>
      <w:bookmarkEnd w:id="175"/>
      <w:bookmarkEnd w:id="176"/>
    </w:p>
    <w:p>
      <w:pPr>
        <w:widowControl/>
        <w:spacing w:line="360" w:lineRule="auto"/>
        <w:jc w:val="left"/>
        <w:rPr>
          <w:rFonts w:ascii="仿宋" w:hAnsi="仿宋" w:eastAsia="仿宋"/>
          <w:sz w:val="24"/>
          <w:lang w:bidi="ar"/>
        </w:rPr>
      </w:pPr>
      <w:r>
        <w:rPr>
          <w:rFonts w:hint="eastAsia" w:ascii="仿宋" w:hAnsi="仿宋" w:eastAsia="仿宋"/>
          <w:sz w:val="24"/>
          <w:lang w:bidi="ar"/>
        </w:rPr>
        <w:t>尊敬的投资者：</w:t>
      </w:r>
    </w:p>
    <w:p>
      <w:pPr>
        <w:widowControl/>
        <w:spacing w:line="360" w:lineRule="auto"/>
        <w:ind w:firstLine="480" w:firstLineChars="200"/>
        <w:jc w:val="left"/>
        <w:rPr>
          <w:rFonts w:ascii="仿宋" w:hAnsi="仿宋" w:eastAsia="仿宋"/>
          <w:sz w:val="24"/>
          <w:lang w:bidi="ar"/>
        </w:rPr>
      </w:pPr>
      <w:r>
        <w:rPr>
          <w:rFonts w:hint="eastAsia" w:ascii="仿宋" w:hAnsi="仿宋" w:eastAsia="仿宋"/>
          <w:sz w:val="24"/>
          <w:lang w:bidi="ar"/>
        </w:rPr>
        <w:t>请您在申购新股/新债前充分了解相关品种申购规则和投资风险，仔细阅读拟发行公司的《招股说明书》、《投资风险特别公告》、《债券募集说明书》、《债券发行公告》等材料，理性作出申购决策。</w:t>
      </w:r>
    </w:p>
    <w:p>
      <w:pPr>
        <w:widowControl/>
        <w:spacing w:line="360" w:lineRule="auto"/>
        <w:ind w:firstLine="480" w:firstLineChars="200"/>
        <w:jc w:val="left"/>
        <w:rPr>
          <w:rFonts w:ascii="仿宋" w:hAnsi="仿宋" w:eastAsia="仿宋"/>
          <w:sz w:val="24"/>
          <w:lang w:bidi="ar"/>
        </w:rPr>
      </w:pPr>
      <w:r>
        <w:rPr>
          <w:rFonts w:hint="eastAsia" w:ascii="仿宋" w:hAnsi="仿宋" w:eastAsia="仿宋"/>
          <w:sz w:val="24"/>
          <w:lang w:bidi="ar"/>
        </w:rPr>
        <w:t>特别提醒您：</w:t>
      </w:r>
    </w:p>
    <w:p>
      <w:pPr>
        <w:widowControl/>
        <w:spacing w:line="360" w:lineRule="auto"/>
        <w:jc w:val="left"/>
        <w:rPr>
          <w:rFonts w:ascii="仿宋" w:hAnsi="仿宋" w:eastAsia="仿宋"/>
          <w:sz w:val="24"/>
          <w:lang w:bidi="ar"/>
        </w:rPr>
      </w:pPr>
      <w:r>
        <w:rPr>
          <w:rFonts w:hint="eastAsia" w:ascii="仿宋" w:hAnsi="仿宋" w:eastAsia="仿宋"/>
          <w:sz w:val="24"/>
          <w:lang w:bidi="ar"/>
        </w:rPr>
        <w:t>1、股票/债券波动情况较为复杂，可能出现跌破发行价、价格大幅波动、与投资价值相背离的情况，投资者应当关注相关风险。</w:t>
      </w:r>
    </w:p>
    <w:p>
      <w:pPr>
        <w:widowControl/>
        <w:spacing w:line="360" w:lineRule="auto"/>
        <w:jc w:val="left"/>
        <w:rPr>
          <w:rFonts w:ascii="仿宋" w:hAnsi="仿宋" w:eastAsia="仿宋"/>
          <w:sz w:val="24"/>
          <w:lang w:bidi="ar"/>
        </w:rPr>
      </w:pPr>
      <w:r>
        <w:rPr>
          <w:rFonts w:hint="eastAsia" w:ascii="仿宋" w:hAnsi="仿宋" w:eastAsia="仿宋"/>
          <w:sz w:val="24"/>
          <w:lang w:bidi="ar"/>
        </w:rPr>
        <w:t>2、投资者可能因未了解中签缴款规则、账户余额不足或未及时足额缴款，导致申购失败的风险。</w:t>
      </w:r>
    </w:p>
    <w:p>
      <w:pPr>
        <w:widowControl/>
        <w:spacing w:line="360" w:lineRule="auto"/>
        <w:jc w:val="left"/>
      </w:pPr>
      <w:r>
        <w:rPr>
          <w:rFonts w:hint="eastAsia" w:ascii="仿宋" w:hAnsi="仿宋" w:eastAsia="仿宋"/>
          <w:sz w:val="24"/>
          <w:lang w:bidi="ar"/>
        </w:rPr>
        <w:t>3、网上投资者连续12个月内累计出现3次中签后未足额缴款的情形时，将被列入限制申购名单，自其最近一次放弃认购的次日起6个月（按180个自然日计算，含次日）内不得参与新股、存托凭证、可转换公司债券、可交换公司债券网上申购。放弃申购的次数按照投资者同市场实际放弃申购新股、可转债、可交换公司债券和存托凭证的次数合并计算。</w:t>
      </w:r>
    </w:p>
    <w:p>
      <w:pPr>
        <w:spacing w:line="560" w:lineRule="exact"/>
        <w:ind w:firstLine="480" w:firstLineChars="200"/>
        <w:rPr>
          <w:rFonts w:ascii="仿宋" w:hAnsi="仿宋" w:eastAsia="仿宋" w:cs="仿宋"/>
          <w:color w:val="000000"/>
          <w:kern w:val="0"/>
          <w:sz w:val="24"/>
        </w:rPr>
      </w:pPr>
      <w:r>
        <w:rPr>
          <w:rFonts w:hint="eastAsia" w:ascii="仿宋" w:hAnsi="仿宋" w:eastAsia="仿宋" w:cs="仿宋"/>
          <w:color w:val="000000"/>
          <w:kern w:val="0"/>
          <w:sz w:val="24"/>
        </w:rPr>
        <w:t>证券市场相关法律、行政法规、部门规章、规范性文件和交易所业务规则，可能根据市场情况进行修改，或者制定新的法律法规和业务规则，投资者应当及时予以关注和了解。</w:t>
      </w:r>
    </w:p>
    <w:p>
      <w:pPr>
        <w:spacing w:line="560" w:lineRule="exact"/>
        <w:ind w:firstLine="482" w:firstLineChars="200"/>
        <w:rPr>
          <w:rFonts w:ascii="仿宋" w:hAnsi="仿宋" w:eastAsia="仿宋" w:cs="仿宋"/>
          <w:b/>
          <w:bCs/>
          <w:color w:val="000000"/>
          <w:kern w:val="0"/>
          <w:sz w:val="24"/>
        </w:rPr>
      </w:pPr>
      <w:r>
        <w:rPr>
          <w:rFonts w:hint="eastAsia" w:ascii="仿宋" w:hAnsi="仿宋" w:eastAsia="仿宋" w:cs="仿宋"/>
          <w:b/>
          <w:bCs/>
          <w:color w:val="000000"/>
          <w:kern w:val="0"/>
          <w:sz w:val="24"/>
        </w:rPr>
        <w:t>本风险提示的提示事项仅为列举事项，未能详尽载明新股新债申购及交易的所有风险，且未来有关法律法规和业务规则修订时可能不会要求投资者重新签署风险提示，投资者在参与新股新债申购及交易前，应当认真阅读有关法律法规和交易所业务规则等相关规定，对其他可能存在的风险因素也应当有所了解和掌握，并确信自己已做好足够的风险评估与财务安排，避免因参与新股新债申购及交易遭受难以承受的损失。</w:t>
      </w:r>
    </w:p>
    <w:p>
      <w:pPr>
        <w:spacing w:line="560" w:lineRule="exact"/>
        <w:ind w:firstLine="482" w:firstLineChars="200"/>
        <w:rPr>
          <w:rFonts w:ascii="仿宋" w:hAnsi="仿宋" w:eastAsia="仿宋" w:cs="仿宋"/>
          <w:b/>
          <w:bCs/>
          <w:color w:val="000000"/>
          <w:kern w:val="0"/>
          <w:sz w:val="24"/>
        </w:rPr>
      </w:pPr>
      <w:r>
        <w:rPr>
          <w:rFonts w:hint="eastAsia" w:ascii="仿宋" w:hAnsi="仿宋" w:eastAsia="仿宋" w:cs="仿宋"/>
          <w:b/>
          <w:bCs/>
          <w:color w:val="000000"/>
          <w:kern w:val="0"/>
          <w:sz w:val="24"/>
        </w:rPr>
        <w:t>本人确认已阅读并理解相关规则和上述风险提示内容，具备相应的风险承受能力，自愿参与新股新债申购及交易，并愿意承担相关投资风险和损失。</w:t>
      </w:r>
    </w:p>
    <w:p>
      <w:pPr>
        <w:spacing w:line="360" w:lineRule="auto"/>
        <w:ind w:firstLine="472" w:firstLineChars="196"/>
        <w:rPr>
          <w:rFonts w:ascii="仿宋" w:hAnsi="仿宋" w:eastAsia="仿宋"/>
          <w:sz w:val="24"/>
        </w:rPr>
      </w:pPr>
      <w:r>
        <w:rPr>
          <w:rFonts w:hint="eastAsia" w:ascii="仿宋" w:hAnsi="仿宋" w:eastAsia="仿宋"/>
          <w:b/>
          <w:sz w:val="24"/>
        </w:rPr>
        <w:t>本投资者确认已详细阅读并完全理解了上述的各项内容，在签署页签署视同签署认可。</w:t>
      </w:r>
    </w:p>
    <w:p>
      <w:pPr>
        <w:spacing w:line="560" w:lineRule="exact"/>
        <w:ind w:firstLine="482" w:firstLineChars="200"/>
        <w:rPr>
          <w:rFonts w:ascii="仿宋" w:hAnsi="仿宋" w:eastAsia="仿宋" w:cs="仿宋"/>
          <w:b/>
          <w:bCs/>
          <w:color w:val="000000"/>
          <w:kern w:val="0"/>
          <w:sz w:val="24"/>
        </w:rPr>
      </w:pPr>
    </w:p>
    <w:p>
      <w:pPr>
        <w:pStyle w:val="2"/>
        <w:rPr>
          <w:rFonts w:ascii="仿宋" w:hAnsi="仿宋" w:eastAsia="仿宋" w:cs="仿宋"/>
          <w:b/>
          <w:bCs/>
          <w:color w:val="000000"/>
          <w:kern w:val="0"/>
          <w:sz w:val="24"/>
          <w:szCs w:val="24"/>
        </w:rPr>
      </w:pPr>
    </w:p>
    <w:p>
      <w:pPr>
        <w:pStyle w:val="2"/>
        <w:ind w:firstLine="0"/>
        <w:rPr>
          <w:rFonts w:ascii="仿宋" w:hAnsi="仿宋" w:eastAsia="仿宋" w:cs="仿宋"/>
          <w:b/>
          <w:bCs/>
          <w:color w:val="000000"/>
          <w:kern w:val="0"/>
          <w:sz w:val="24"/>
          <w:szCs w:val="24"/>
        </w:rPr>
      </w:pPr>
    </w:p>
    <w:p>
      <w:pPr>
        <w:pStyle w:val="2"/>
        <w:ind w:firstLine="0"/>
        <w:rPr>
          <w:rFonts w:ascii="仿宋" w:hAnsi="仿宋" w:eastAsia="仿宋" w:cs="仿宋"/>
          <w:b/>
          <w:bCs/>
          <w:color w:val="000000"/>
          <w:kern w:val="0"/>
          <w:sz w:val="24"/>
          <w:szCs w:val="24"/>
        </w:rPr>
      </w:pPr>
    </w:p>
    <w:p>
      <w:pPr>
        <w:pStyle w:val="19"/>
        <w:numPr>
          <w:ilvl w:val="0"/>
          <w:numId w:val="1"/>
        </w:numPr>
        <w:rPr>
          <w:rFonts w:ascii="仿宋" w:hAnsi="仿宋" w:eastAsia="仿宋"/>
          <w:bCs w:val="0"/>
          <w:kern w:val="0"/>
        </w:rPr>
      </w:pPr>
      <w:bookmarkStart w:id="177" w:name="_Toc23628"/>
      <w:bookmarkStart w:id="178" w:name="_Toc20927"/>
      <w:bookmarkStart w:id="179" w:name="_Toc15821"/>
      <w:bookmarkStart w:id="180" w:name="_Toc26546"/>
      <w:bookmarkStart w:id="181" w:name="_Toc11466"/>
      <w:bookmarkStart w:id="182" w:name="_Toc25760"/>
      <w:bookmarkStart w:id="183" w:name="_Toc23484"/>
      <w:bookmarkStart w:id="184" w:name="_Toc17445"/>
      <w:bookmarkStart w:id="185" w:name="_Toc3518"/>
      <w:bookmarkStart w:id="186" w:name="_Toc27925"/>
      <w:r>
        <w:rPr>
          <w:rFonts w:hint="eastAsia" w:ascii="仿宋" w:hAnsi="仿宋" w:eastAsia="仿宋"/>
          <w:bCs w:val="0"/>
          <w:kern w:val="0"/>
        </w:rPr>
        <w:t>营销人员权限揭示书</w:t>
      </w:r>
      <w:bookmarkEnd w:id="177"/>
      <w:bookmarkEnd w:id="178"/>
      <w:bookmarkEnd w:id="179"/>
      <w:bookmarkEnd w:id="180"/>
      <w:bookmarkEnd w:id="181"/>
      <w:bookmarkEnd w:id="182"/>
      <w:bookmarkEnd w:id="183"/>
      <w:bookmarkEnd w:id="184"/>
      <w:bookmarkEnd w:id="185"/>
      <w:bookmarkEnd w:id="186"/>
    </w:p>
    <w:p>
      <w:pPr>
        <w:widowControl/>
        <w:spacing w:line="360" w:lineRule="auto"/>
        <w:jc w:val="left"/>
        <w:rPr>
          <w:rFonts w:ascii="仿宋" w:hAnsi="仿宋" w:eastAsia="仿宋"/>
          <w:sz w:val="24"/>
          <w:lang w:bidi="ar"/>
        </w:rPr>
      </w:pPr>
      <w:r>
        <w:rPr>
          <w:rFonts w:hint="eastAsia" w:ascii="仿宋" w:hAnsi="仿宋" w:eastAsia="仿宋"/>
          <w:sz w:val="24"/>
          <w:lang w:bidi="ar"/>
        </w:rPr>
        <w:t>一、营销人员权限揭示：</w:t>
      </w:r>
    </w:p>
    <w:p>
      <w:pPr>
        <w:widowControl/>
        <w:spacing w:line="360" w:lineRule="auto"/>
        <w:jc w:val="left"/>
        <w:rPr>
          <w:rFonts w:ascii="仿宋" w:hAnsi="仿宋" w:eastAsia="仿宋"/>
          <w:sz w:val="24"/>
          <w:lang w:bidi="ar"/>
        </w:rPr>
      </w:pPr>
      <w:r>
        <w:rPr>
          <w:rFonts w:hint="eastAsia" w:ascii="仿宋" w:hAnsi="仿宋" w:eastAsia="仿宋"/>
          <w:sz w:val="24"/>
          <w:lang w:bidi="ar"/>
        </w:rPr>
        <w:t xml:space="preserve">我营业部营销人员（包括证券经纪人、投顾人员等从事营销活动的人员，以下简称“营销人员”），按照有关规定，可以在我部授权后为您提供以下全部或部分服务： </w:t>
      </w:r>
    </w:p>
    <w:p>
      <w:pPr>
        <w:widowControl/>
        <w:spacing w:line="360" w:lineRule="auto"/>
        <w:jc w:val="left"/>
        <w:rPr>
          <w:rFonts w:ascii="仿宋" w:hAnsi="仿宋" w:eastAsia="仿宋"/>
          <w:sz w:val="24"/>
          <w:lang w:bidi="ar"/>
        </w:rPr>
      </w:pPr>
      <w:r>
        <w:rPr>
          <w:rFonts w:hint="eastAsia" w:ascii="仿宋" w:hAnsi="仿宋" w:eastAsia="仿宋"/>
          <w:sz w:val="24"/>
          <w:lang w:bidi="ar"/>
        </w:rPr>
        <w:t xml:space="preserve">1、向您介绍公司、营业部和证券市场的基本情况； </w:t>
      </w:r>
    </w:p>
    <w:p>
      <w:pPr>
        <w:widowControl/>
        <w:spacing w:line="360" w:lineRule="auto"/>
        <w:jc w:val="left"/>
        <w:rPr>
          <w:rFonts w:ascii="仿宋" w:hAnsi="仿宋" w:eastAsia="仿宋"/>
          <w:sz w:val="24"/>
          <w:lang w:bidi="ar"/>
        </w:rPr>
      </w:pPr>
      <w:r>
        <w:rPr>
          <w:rFonts w:hint="eastAsia" w:ascii="仿宋" w:hAnsi="仿宋" w:eastAsia="仿宋"/>
          <w:sz w:val="24"/>
          <w:lang w:bidi="ar"/>
        </w:rPr>
        <w:t xml:space="preserve">2、向您介绍证券投资的基本知识及开户、交易、资金存取等业务流程； </w:t>
      </w:r>
    </w:p>
    <w:p>
      <w:pPr>
        <w:widowControl/>
        <w:spacing w:line="360" w:lineRule="auto"/>
        <w:jc w:val="left"/>
        <w:rPr>
          <w:rFonts w:ascii="仿宋" w:hAnsi="仿宋" w:eastAsia="仿宋"/>
          <w:sz w:val="24"/>
          <w:lang w:bidi="ar"/>
        </w:rPr>
      </w:pPr>
      <w:r>
        <w:rPr>
          <w:rFonts w:hint="eastAsia" w:ascii="仿宋" w:hAnsi="仿宋" w:eastAsia="仿宋"/>
          <w:sz w:val="24"/>
          <w:lang w:bidi="ar"/>
        </w:rPr>
        <w:t xml:space="preserve">3、向您介绍与证券交易有关的法律、行政法规、证监会规定、自律规则和公司、营业部的有关规定； </w:t>
      </w:r>
    </w:p>
    <w:p>
      <w:pPr>
        <w:widowControl/>
        <w:spacing w:line="360" w:lineRule="auto"/>
        <w:jc w:val="left"/>
        <w:rPr>
          <w:rFonts w:ascii="仿宋" w:hAnsi="仿宋" w:eastAsia="仿宋"/>
          <w:sz w:val="24"/>
          <w:lang w:bidi="ar"/>
        </w:rPr>
      </w:pPr>
      <w:r>
        <w:rPr>
          <w:rFonts w:hint="eastAsia" w:ascii="仿宋" w:hAnsi="仿宋" w:eastAsia="仿宋"/>
          <w:sz w:val="24"/>
          <w:lang w:bidi="ar"/>
        </w:rPr>
        <w:t xml:space="preserve">4、向您传递由公司、营业部统一提供的研究报告及与证券投资有关的信息； </w:t>
      </w:r>
    </w:p>
    <w:p>
      <w:pPr>
        <w:widowControl/>
        <w:spacing w:line="360" w:lineRule="auto"/>
        <w:jc w:val="left"/>
        <w:rPr>
          <w:rFonts w:ascii="仿宋" w:hAnsi="仿宋" w:eastAsia="仿宋"/>
          <w:sz w:val="24"/>
          <w:lang w:bidi="ar"/>
        </w:rPr>
      </w:pPr>
      <w:r>
        <w:rPr>
          <w:rFonts w:hint="eastAsia" w:ascii="仿宋" w:hAnsi="仿宋" w:eastAsia="仿宋"/>
          <w:sz w:val="24"/>
          <w:lang w:bidi="ar"/>
        </w:rPr>
        <w:t xml:space="preserve">5、向您传递由公司、营业部统一提供的证券类金融产品宣传推介材料及有关信息； </w:t>
      </w:r>
    </w:p>
    <w:p>
      <w:pPr>
        <w:widowControl/>
        <w:spacing w:line="360" w:lineRule="auto"/>
        <w:jc w:val="left"/>
        <w:rPr>
          <w:rFonts w:ascii="仿宋" w:hAnsi="仿宋" w:eastAsia="仿宋"/>
          <w:sz w:val="24"/>
          <w:lang w:bidi="ar"/>
        </w:rPr>
      </w:pPr>
      <w:r>
        <w:rPr>
          <w:rFonts w:hint="eastAsia" w:ascii="仿宋" w:hAnsi="仿宋" w:eastAsia="仿宋"/>
          <w:sz w:val="24"/>
          <w:lang w:bidi="ar"/>
        </w:rPr>
        <w:t xml:space="preserve">6、法律、行政法规和证监会规定营销人员可以提供的其他服务。 </w:t>
      </w:r>
    </w:p>
    <w:p>
      <w:pPr>
        <w:widowControl/>
        <w:spacing w:line="360" w:lineRule="auto"/>
        <w:jc w:val="left"/>
        <w:rPr>
          <w:rFonts w:ascii="仿宋" w:hAnsi="仿宋" w:eastAsia="仿宋"/>
          <w:sz w:val="24"/>
          <w:lang w:bidi="ar"/>
        </w:rPr>
      </w:pPr>
      <w:r>
        <w:rPr>
          <w:rFonts w:hint="eastAsia" w:ascii="仿宋" w:hAnsi="仿宋" w:eastAsia="仿宋"/>
          <w:sz w:val="24"/>
          <w:lang w:bidi="ar"/>
        </w:rPr>
        <w:t xml:space="preserve">二、郑重提示 </w:t>
      </w:r>
    </w:p>
    <w:p>
      <w:pPr>
        <w:widowControl/>
        <w:spacing w:line="360" w:lineRule="auto"/>
        <w:jc w:val="left"/>
        <w:rPr>
          <w:rFonts w:ascii="仿宋" w:hAnsi="仿宋" w:eastAsia="仿宋"/>
          <w:sz w:val="24"/>
          <w:lang w:bidi="ar"/>
        </w:rPr>
      </w:pPr>
      <w:r>
        <w:rPr>
          <w:rFonts w:hint="eastAsia" w:ascii="仿宋" w:hAnsi="仿宋" w:eastAsia="仿宋"/>
          <w:sz w:val="24"/>
          <w:lang w:bidi="ar"/>
        </w:rPr>
        <w:t xml:space="preserve">为了保护您的利益，我部郑重向您提示： </w:t>
      </w:r>
    </w:p>
    <w:p>
      <w:pPr>
        <w:widowControl/>
        <w:numPr>
          <w:ilvl w:val="255"/>
          <w:numId w:val="0"/>
        </w:numPr>
        <w:spacing w:line="360" w:lineRule="auto"/>
        <w:jc w:val="left"/>
        <w:rPr>
          <w:rFonts w:ascii="仿宋" w:hAnsi="仿宋" w:eastAsia="仿宋"/>
          <w:sz w:val="24"/>
          <w:lang w:bidi="ar"/>
        </w:rPr>
      </w:pPr>
      <w:r>
        <w:rPr>
          <w:rFonts w:hint="eastAsia" w:ascii="仿宋" w:hAnsi="仿宋" w:eastAsia="仿宋"/>
          <w:sz w:val="24"/>
          <w:lang w:bidi="ar"/>
        </w:rPr>
        <w:t>1、不要委托营销人员理财；也不要与营销人员之间有任何分享收益或承担损失的约定。</w:t>
      </w:r>
    </w:p>
    <w:p>
      <w:pPr>
        <w:widowControl/>
        <w:numPr>
          <w:ilvl w:val="255"/>
          <w:numId w:val="0"/>
        </w:numPr>
        <w:spacing w:line="360" w:lineRule="auto"/>
        <w:jc w:val="left"/>
        <w:rPr>
          <w:rFonts w:ascii="仿宋" w:hAnsi="仿宋" w:eastAsia="仿宋"/>
          <w:sz w:val="24"/>
          <w:lang w:bidi="ar"/>
        </w:rPr>
      </w:pPr>
      <w:r>
        <w:rPr>
          <w:rFonts w:hint="eastAsia" w:ascii="仿宋" w:hAnsi="仿宋" w:eastAsia="仿宋"/>
          <w:sz w:val="24"/>
          <w:lang w:bidi="ar"/>
        </w:rPr>
        <w:t xml:space="preserve">2、不要委托营销人员代您进行买卖操作；也不要委托营销人员代理您办理任何与证券交易、证券投资、资金存取和信息变更等相关的操作。 </w:t>
      </w:r>
    </w:p>
    <w:p>
      <w:pPr>
        <w:widowControl/>
        <w:spacing w:line="360" w:lineRule="auto"/>
        <w:jc w:val="left"/>
        <w:rPr>
          <w:rFonts w:ascii="仿宋" w:hAnsi="仿宋" w:eastAsia="仿宋"/>
          <w:sz w:val="24"/>
          <w:lang w:bidi="ar"/>
        </w:rPr>
      </w:pPr>
      <w:r>
        <w:rPr>
          <w:rFonts w:hint="eastAsia" w:ascii="仿宋" w:hAnsi="仿宋" w:eastAsia="仿宋"/>
          <w:sz w:val="24"/>
          <w:lang w:bidi="ar"/>
        </w:rPr>
        <w:t xml:space="preserve">3、不要委托营销人员代您在相关合同、协议、文件等资料上签字； </w:t>
      </w:r>
    </w:p>
    <w:p>
      <w:pPr>
        <w:widowControl/>
        <w:spacing w:line="360" w:lineRule="auto"/>
        <w:jc w:val="left"/>
        <w:rPr>
          <w:rFonts w:ascii="仿宋" w:hAnsi="仿宋" w:eastAsia="仿宋"/>
          <w:sz w:val="24"/>
          <w:lang w:bidi="ar"/>
        </w:rPr>
      </w:pPr>
      <w:r>
        <w:rPr>
          <w:rFonts w:hint="eastAsia" w:ascii="仿宋" w:hAnsi="仿宋" w:eastAsia="仿宋"/>
          <w:sz w:val="24"/>
          <w:lang w:bidi="ar"/>
        </w:rPr>
        <w:t xml:space="preserve">4、不要轻信营销人员对证券价格、市场走势以及所推荐金融产品盈亏情况等所做出的分析。 </w:t>
      </w:r>
    </w:p>
    <w:p>
      <w:pPr>
        <w:widowControl/>
        <w:spacing w:line="360" w:lineRule="auto"/>
        <w:jc w:val="left"/>
        <w:rPr>
          <w:rFonts w:ascii="仿宋" w:hAnsi="仿宋" w:eastAsia="仿宋"/>
          <w:sz w:val="24"/>
          <w:lang w:bidi="ar"/>
        </w:rPr>
      </w:pPr>
      <w:r>
        <w:rPr>
          <w:rFonts w:hint="eastAsia" w:ascii="仿宋" w:hAnsi="仿宋" w:eastAsia="仿宋"/>
          <w:sz w:val="24"/>
          <w:lang w:bidi="ar"/>
        </w:rPr>
        <w:t xml:space="preserve">5、不要接受营销人员为您提供的超出本揭示书第二项规定的营销人员服务范围之外的服务。若需投资顾问服务，请联系您所在营业部，并与公司签署《证券投资顾问服务协议》，公司投资顾问已在公司网站和营业部现场公示。 </w:t>
      </w:r>
    </w:p>
    <w:p>
      <w:pPr>
        <w:widowControl/>
        <w:spacing w:line="360" w:lineRule="auto"/>
        <w:jc w:val="left"/>
        <w:rPr>
          <w:rFonts w:ascii="仿宋" w:hAnsi="仿宋" w:eastAsia="仿宋"/>
          <w:sz w:val="24"/>
          <w:lang w:bidi="ar"/>
        </w:rPr>
      </w:pPr>
      <w:r>
        <w:rPr>
          <w:rFonts w:hint="eastAsia" w:ascii="仿宋" w:hAnsi="仿宋" w:eastAsia="仿宋"/>
          <w:sz w:val="24"/>
          <w:lang w:bidi="ar"/>
        </w:rPr>
        <w:t>6、公司禁止营销人员向您提供由公司、营业部统一提供的证券类金融产品宣传推介材料之外的任何其他金融产品宣传推介材料或信息。公司、营业部统一组织销售或推介的金融产品信息可通过公司网站（www.bocichina.com）方式查询。若营销人员向您销售或推介公司、营业部公示之外的其他金融产品的，您应当拒绝购买。公司希望您通过</w:t>
      </w:r>
      <w:r>
        <w:rPr>
          <w:rFonts w:hint="eastAsia" w:ascii="仿宋" w:hAnsi="仿宋" w:eastAsia="仿宋"/>
          <w:sz w:val="24"/>
          <w:lang w:val="en-US" w:eastAsia="zh-CN" w:bidi="ar"/>
        </w:rPr>
        <w:t>956026、</w:t>
      </w:r>
      <w:r>
        <w:rPr>
          <w:rFonts w:hint="eastAsia" w:ascii="仿宋" w:hAnsi="仿宋" w:eastAsia="仿宋"/>
          <w:sz w:val="24"/>
          <w:lang w:bidi="ar"/>
        </w:rPr>
        <w:t>4006208888 电话向公司举报营销人员的上述行为。</w:t>
      </w:r>
    </w:p>
    <w:p>
      <w:pPr>
        <w:widowControl/>
        <w:spacing w:line="360" w:lineRule="auto"/>
        <w:jc w:val="left"/>
        <w:rPr>
          <w:rFonts w:ascii="仿宋" w:hAnsi="仿宋" w:eastAsia="仿宋"/>
          <w:sz w:val="24"/>
          <w:lang w:bidi="ar"/>
        </w:rPr>
      </w:pPr>
      <w:r>
        <w:rPr>
          <w:rFonts w:hint="eastAsia" w:ascii="仿宋" w:hAnsi="仿宋" w:eastAsia="仿宋"/>
          <w:sz w:val="24"/>
          <w:lang w:bidi="ar"/>
        </w:rPr>
        <w:t xml:space="preserve">7、妥善保管您的交易证件和密码，不要将您的交易证件委托营销人员保管，也不要将密码告诉营销人员。 </w:t>
      </w:r>
    </w:p>
    <w:p>
      <w:pPr>
        <w:widowControl/>
        <w:spacing w:line="360" w:lineRule="auto"/>
        <w:jc w:val="left"/>
        <w:rPr>
          <w:rFonts w:ascii="仿宋" w:hAnsi="仿宋" w:eastAsia="仿宋"/>
          <w:sz w:val="24"/>
          <w:lang w:bidi="ar"/>
        </w:rPr>
      </w:pPr>
      <w:r>
        <w:rPr>
          <w:rFonts w:hint="eastAsia" w:ascii="仿宋" w:hAnsi="仿宋" w:eastAsia="仿宋"/>
          <w:sz w:val="24"/>
          <w:lang w:bidi="ar"/>
        </w:rPr>
        <w:t>8、您还应该定期核对您账户内的资产和交易情况。</w:t>
      </w:r>
    </w:p>
    <w:p>
      <w:pPr>
        <w:widowControl/>
        <w:spacing w:line="360" w:lineRule="auto"/>
        <w:jc w:val="left"/>
        <w:rPr>
          <w:rFonts w:ascii="仿宋" w:hAnsi="仿宋" w:eastAsia="仿宋"/>
          <w:sz w:val="24"/>
          <w:lang w:bidi="ar"/>
        </w:rPr>
      </w:pPr>
      <w:r>
        <w:rPr>
          <w:rFonts w:hint="eastAsia" w:ascii="仿宋" w:hAnsi="仿宋" w:eastAsia="仿宋"/>
          <w:sz w:val="24"/>
          <w:lang w:bidi="ar"/>
        </w:rPr>
        <w:t>9、根据证券市场“买者自负”的原则，参与证券交易，您应当根据相关市场信息理性判断、自主决策，并自行承担交易后果。</w:t>
      </w:r>
    </w:p>
    <w:p>
      <w:pPr>
        <w:widowControl/>
        <w:spacing w:line="360" w:lineRule="auto"/>
        <w:jc w:val="left"/>
        <w:rPr>
          <w:rFonts w:ascii="仿宋" w:hAnsi="仿宋" w:eastAsia="仿宋"/>
          <w:sz w:val="24"/>
          <w:lang w:bidi="ar"/>
        </w:rPr>
      </w:pPr>
      <w:r>
        <w:rPr>
          <w:rFonts w:hint="eastAsia" w:ascii="仿宋" w:hAnsi="仿宋" w:eastAsia="仿宋"/>
          <w:sz w:val="24"/>
          <w:lang w:bidi="ar"/>
        </w:rPr>
        <w:t xml:space="preserve">三、客 户 确 认 </w:t>
      </w:r>
    </w:p>
    <w:p>
      <w:pPr>
        <w:widowControl/>
        <w:spacing w:line="360" w:lineRule="auto"/>
        <w:jc w:val="left"/>
        <w:rPr>
          <w:rFonts w:ascii="仿宋" w:hAnsi="仿宋" w:eastAsia="仿宋"/>
          <w:sz w:val="24"/>
          <w:lang w:bidi="ar"/>
        </w:rPr>
      </w:pPr>
      <w:r>
        <w:rPr>
          <w:rFonts w:hint="eastAsia" w:ascii="仿宋" w:hAnsi="仿宋" w:eastAsia="仿宋"/>
          <w:sz w:val="24"/>
          <w:lang w:bidi="ar"/>
        </w:rPr>
        <w:t xml:space="preserve">1、本人已认真阅读权限揭示书的所有内容，并完全理解和接受。 </w:t>
      </w:r>
    </w:p>
    <w:p>
      <w:pPr>
        <w:widowControl/>
        <w:spacing w:line="360" w:lineRule="auto"/>
        <w:jc w:val="left"/>
        <w:rPr>
          <w:rFonts w:ascii="仿宋" w:hAnsi="仿宋" w:eastAsia="仿宋"/>
          <w:sz w:val="24"/>
          <w:lang w:bidi="ar"/>
        </w:rPr>
      </w:pPr>
      <w:r>
        <w:rPr>
          <w:rFonts w:hint="eastAsia" w:ascii="仿宋" w:hAnsi="仿宋" w:eastAsia="仿宋"/>
          <w:sz w:val="24"/>
          <w:lang w:bidi="ar"/>
        </w:rPr>
        <w:t>2、本人开户时营业部已就营销人员营销规范要求及其风险进行了充分的提示。</w:t>
      </w:r>
    </w:p>
    <w:p>
      <w:pPr>
        <w:spacing w:line="360" w:lineRule="auto"/>
        <w:ind w:firstLine="472" w:firstLineChars="196"/>
        <w:rPr>
          <w:rFonts w:ascii="仿宋" w:hAnsi="仿宋" w:eastAsia="仿宋"/>
          <w:sz w:val="24"/>
        </w:rPr>
      </w:pPr>
      <w:r>
        <w:rPr>
          <w:rFonts w:hint="eastAsia" w:ascii="仿宋" w:hAnsi="仿宋" w:eastAsia="仿宋"/>
          <w:b/>
          <w:sz w:val="24"/>
        </w:rPr>
        <w:t>本投资者确认已详细阅读并完全理解了上述的各项内容，在签署页签署视同签署认可。</w:t>
      </w:r>
    </w:p>
    <w:p>
      <w:pPr>
        <w:rPr>
          <w:rFonts w:ascii="微软雅黑" w:hAnsi="微软雅黑" w:eastAsia="微软雅黑" w:cs="微软雅黑"/>
          <w:b/>
          <w:bCs/>
          <w:color w:val="000000"/>
          <w:kern w:val="0"/>
          <w:szCs w:val="21"/>
          <w:lang w:bidi="ar"/>
        </w:rPr>
      </w:pPr>
    </w:p>
    <w:p>
      <w:pPr>
        <w:rPr>
          <w:rFonts w:ascii="微软雅黑" w:hAnsi="微软雅黑" w:eastAsia="微软雅黑" w:cs="微软雅黑"/>
          <w:b/>
          <w:bCs/>
          <w:color w:val="000000"/>
          <w:kern w:val="0"/>
          <w:szCs w:val="21"/>
          <w:lang w:bidi="ar"/>
        </w:rPr>
      </w:pPr>
    </w:p>
    <w:p>
      <w:pPr>
        <w:rPr>
          <w:rFonts w:ascii="微软雅黑" w:hAnsi="微软雅黑" w:eastAsia="微软雅黑" w:cs="微软雅黑"/>
          <w:b/>
          <w:bCs/>
          <w:color w:val="000000"/>
          <w:kern w:val="0"/>
          <w:szCs w:val="21"/>
          <w:lang w:bidi="ar"/>
        </w:rPr>
      </w:pPr>
    </w:p>
    <w:p>
      <w:pPr>
        <w:rPr>
          <w:rFonts w:ascii="微软雅黑" w:hAnsi="微软雅黑" w:eastAsia="微软雅黑" w:cs="微软雅黑"/>
          <w:b/>
          <w:bCs/>
          <w:color w:val="000000"/>
          <w:kern w:val="0"/>
          <w:szCs w:val="21"/>
          <w:lang w:bidi="ar"/>
        </w:rPr>
      </w:pPr>
    </w:p>
    <w:p>
      <w:pPr>
        <w:rPr>
          <w:rFonts w:ascii="微软雅黑" w:hAnsi="微软雅黑" w:eastAsia="微软雅黑" w:cs="微软雅黑"/>
          <w:b/>
          <w:bCs/>
          <w:color w:val="000000"/>
          <w:kern w:val="0"/>
          <w:szCs w:val="21"/>
          <w:lang w:bidi="ar"/>
        </w:rPr>
      </w:pPr>
    </w:p>
    <w:p>
      <w:pPr>
        <w:rPr>
          <w:rFonts w:ascii="微软雅黑" w:hAnsi="微软雅黑" w:eastAsia="微软雅黑" w:cs="微软雅黑"/>
          <w:b/>
          <w:bCs/>
          <w:color w:val="000000"/>
          <w:kern w:val="0"/>
          <w:szCs w:val="21"/>
          <w:lang w:bidi="ar"/>
        </w:rPr>
      </w:pPr>
    </w:p>
    <w:p>
      <w:pPr>
        <w:rPr>
          <w:rFonts w:ascii="微软雅黑" w:hAnsi="微软雅黑" w:eastAsia="微软雅黑" w:cs="微软雅黑"/>
          <w:b/>
          <w:bCs/>
          <w:color w:val="000000"/>
          <w:kern w:val="0"/>
          <w:szCs w:val="21"/>
          <w:lang w:bidi="ar"/>
        </w:rPr>
      </w:pPr>
    </w:p>
    <w:p>
      <w:pPr>
        <w:rPr>
          <w:rFonts w:ascii="微软雅黑" w:hAnsi="微软雅黑" w:eastAsia="微软雅黑" w:cs="微软雅黑"/>
          <w:b/>
          <w:bCs/>
          <w:color w:val="000000"/>
          <w:kern w:val="0"/>
          <w:szCs w:val="21"/>
          <w:lang w:bidi="ar"/>
        </w:rPr>
      </w:pPr>
    </w:p>
    <w:p>
      <w:pPr>
        <w:rPr>
          <w:rFonts w:ascii="微软雅黑" w:hAnsi="微软雅黑" w:eastAsia="微软雅黑" w:cs="微软雅黑"/>
          <w:b/>
          <w:bCs/>
          <w:color w:val="000000"/>
          <w:kern w:val="0"/>
          <w:szCs w:val="21"/>
          <w:lang w:bidi="ar"/>
        </w:rPr>
      </w:pPr>
    </w:p>
    <w:p>
      <w:pPr>
        <w:pStyle w:val="2"/>
        <w:rPr>
          <w:rFonts w:ascii="微软雅黑" w:hAnsi="微软雅黑" w:eastAsia="微软雅黑" w:cs="微软雅黑"/>
          <w:b/>
          <w:bCs/>
          <w:color w:val="000000"/>
          <w:kern w:val="0"/>
          <w:szCs w:val="21"/>
          <w:lang w:bidi="ar"/>
        </w:rPr>
      </w:pPr>
    </w:p>
    <w:p>
      <w:pPr>
        <w:pStyle w:val="2"/>
        <w:rPr>
          <w:rFonts w:ascii="微软雅黑" w:hAnsi="微软雅黑" w:eastAsia="微软雅黑" w:cs="微软雅黑"/>
          <w:b/>
          <w:bCs/>
          <w:color w:val="000000"/>
          <w:kern w:val="0"/>
          <w:szCs w:val="21"/>
          <w:lang w:bidi="ar"/>
        </w:rPr>
      </w:pPr>
    </w:p>
    <w:p>
      <w:pPr>
        <w:pStyle w:val="2"/>
        <w:rPr>
          <w:rFonts w:ascii="微软雅黑" w:hAnsi="微软雅黑" w:eastAsia="微软雅黑" w:cs="微软雅黑"/>
          <w:b/>
          <w:bCs/>
          <w:color w:val="000000"/>
          <w:kern w:val="0"/>
          <w:szCs w:val="21"/>
          <w:lang w:bidi="ar"/>
        </w:rPr>
      </w:pPr>
    </w:p>
    <w:p>
      <w:pPr>
        <w:pStyle w:val="2"/>
        <w:rPr>
          <w:rFonts w:ascii="微软雅黑" w:hAnsi="微软雅黑" w:eastAsia="微软雅黑" w:cs="微软雅黑"/>
          <w:b/>
          <w:bCs/>
          <w:color w:val="000000"/>
          <w:kern w:val="0"/>
          <w:szCs w:val="21"/>
          <w:lang w:bidi="ar"/>
        </w:rPr>
      </w:pPr>
    </w:p>
    <w:p>
      <w:pPr>
        <w:pStyle w:val="2"/>
        <w:rPr>
          <w:rFonts w:ascii="微软雅黑" w:hAnsi="微软雅黑" w:eastAsia="微软雅黑" w:cs="微软雅黑"/>
          <w:b/>
          <w:bCs/>
          <w:color w:val="000000"/>
          <w:kern w:val="0"/>
          <w:szCs w:val="21"/>
          <w:lang w:bidi="ar"/>
        </w:rPr>
      </w:pPr>
    </w:p>
    <w:p>
      <w:pPr>
        <w:pStyle w:val="2"/>
        <w:rPr>
          <w:rFonts w:ascii="微软雅黑" w:hAnsi="微软雅黑" w:eastAsia="微软雅黑" w:cs="微软雅黑"/>
          <w:b/>
          <w:bCs/>
          <w:color w:val="000000"/>
          <w:kern w:val="0"/>
          <w:szCs w:val="21"/>
          <w:lang w:bidi="ar"/>
        </w:rPr>
      </w:pPr>
    </w:p>
    <w:p>
      <w:pPr>
        <w:pStyle w:val="2"/>
        <w:rPr>
          <w:rFonts w:ascii="微软雅黑" w:hAnsi="微软雅黑" w:eastAsia="微软雅黑" w:cs="微软雅黑"/>
          <w:b/>
          <w:bCs/>
          <w:color w:val="000000"/>
          <w:kern w:val="0"/>
          <w:szCs w:val="21"/>
          <w:lang w:bidi="ar"/>
        </w:rPr>
      </w:pPr>
    </w:p>
    <w:p>
      <w:pPr>
        <w:pStyle w:val="2"/>
        <w:rPr>
          <w:rFonts w:ascii="微软雅黑" w:hAnsi="微软雅黑" w:eastAsia="微软雅黑" w:cs="微软雅黑"/>
          <w:b/>
          <w:bCs/>
          <w:color w:val="000000"/>
          <w:kern w:val="0"/>
          <w:szCs w:val="21"/>
          <w:lang w:bidi="ar"/>
        </w:rPr>
      </w:pPr>
    </w:p>
    <w:p>
      <w:pPr>
        <w:rPr>
          <w:rFonts w:ascii="微软雅黑" w:hAnsi="微软雅黑" w:eastAsia="微软雅黑" w:cs="微软雅黑"/>
          <w:b/>
          <w:bCs/>
          <w:color w:val="000000"/>
          <w:kern w:val="0"/>
          <w:szCs w:val="21"/>
          <w:lang w:bidi="ar"/>
        </w:rPr>
      </w:pPr>
    </w:p>
    <w:p>
      <w:pPr>
        <w:pStyle w:val="19"/>
        <w:numPr>
          <w:ilvl w:val="0"/>
          <w:numId w:val="1"/>
        </w:numPr>
        <w:rPr>
          <w:rFonts w:ascii="仿宋" w:hAnsi="仿宋" w:eastAsia="仿宋"/>
          <w:bCs w:val="0"/>
          <w:kern w:val="0"/>
        </w:rPr>
      </w:pPr>
      <w:bookmarkStart w:id="187" w:name="_Toc4704"/>
      <w:bookmarkStart w:id="188" w:name="_Toc30583"/>
      <w:bookmarkStart w:id="189" w:name="_Toc13532"/>
      <w:bookmarkStart w:id="190" w:name="_Toc13075"/>
      <w:bookmarkStart w:id="191" w:name="_Toc31961"/>
      <w:r>
        <w:rPr>
          <w:rFonts w:hint="eastAsia" w:ascii="仿宋" w:hAnsi="仿宋" w:eastAsia="仿宋"/>
          <w:bCs w:val="0"/>
          <w:kern w:val="0"/>
        </w:rPr>
        <w:t>个人/机构信息授权</w:t>
      </w:r>
      <w:bookmarkEnd w:id="187"/>
      <w:bookmarkEnd w:id="188"/>
      <w:bookmarkEnd w:id="189"/>
      <w:bookmarkEnd w:id="190"/>
      <w:bookmarkEnd w:id="191"/>
    </w:p>
    <w:p>
      <w:pPr>
        <w:widowControl/>
        <w:spacing w:line="360" w:lineRule="auto"/>
        <w:jc w:val="left"/>
        <w:rPr>
          <w:rFonts w:ascii="仿宋" w:hAnsi="仿宋" w:eastAsia="仿宋"/>
          <w:sz w:val="24"/>
          <w:lang w:bidi="ar"/>
        </w:rPr>
      </w:pPr>
      <w:r>
        <w:rPr>
          <w:rFonts w:hint="eastAsia" w:ascii="仿宋" w:hAnsi="仿宋" w:eastAsia="仿宋"/>
          <w:sz w:val="24"/>
          <w:lang w:bidi="ar"/>
        </w:rPr>
        <w:t>尊敬的客户：</w:t>
      </w:r>
    </w:p>
    <w:p>
      <w:pPr>
        <w:widowControl/>
        <w:spacing w:line="360" w:lineRule="auto"/>
        <w:ind w:firstLine="480" w:firstLineChars="200"/>
        <w:jc w:val="left"/>
        <w:rPr>
          <w:rFonts w:ascii="仿宋" w:hAnsi="仿宋" w:eastAsia="仿宋"/>
          <w:sz w:val="24"/>
          <w:lang w:bidi="ar"/>
        </w:rPr>
      </w:pPr>
      <w:r>
        <w:rPr>
          <w:rFonts w:hint="eastAsia" w:ascii="仿宋" w:hAnsi="仿宋" w:eastAsia="仿宋"/>
          <w:sz w:val="24"/>
          <w:lang w:bidi="ar"/>
        </w:rPr>
        <w:t>为了维护您/您机构的权益，请仔细阅读以下内容，关注您/您机构的权利、义务。</w:t>
      </w:r>
    </w:p>
    <w:p>
      <w:pPr>
        <w:widowControl/>
        <w:spacing w:line="360" w:lineRule="auto"/>
        <w:jc w:val="left"/>
        <w:rPr>
          <w:rFonts w:ascii="仿宋" w:hAnsi="仿宋" w:eastAsia="仿宋"/>
          <w:sz w:val="24"/>
          <w:lang w:bidi="ar"/>
        </w:rPr>
      </w:pPr>
      <w:r>
        <w:rPr>
          <w:rFonts w:hint="eastAsia" w:ascii="仿宋" w:hAnsi="仿宋" w:eastAsia="仿宋"/>
          <w:sz w:val="24"/>
          <w:lang w:bidi="ar"/>
        </w:rPr>
        <w:t>为向您/您机构提供开户及后续服务，您/您机构同意并授权中银证券收集并处理您/您机构在办理开户业务及后续业务过程中主动提供、因使用服务而产生的、以及中银证券合法引入的信息，包括但不限于：</w:t>
      </w:r>
    </w:p>
    <w:p>
      <w:pPr>
        <w:widowControl/>
        <w:numPr>
          <w:ilvl w:val="0"/>
          <w:numId w:val="4"/>
        </w:numPr>
        <w:spacing w:line="360" w:lineRule="auto"/>
        <w:ind w:firstLine="480" w:firstLineChars="200"/>
        <w:jc w:val="left"/>
        <w:rPr>
          <w:rFonts w:ascii="仿宋" w:hAnsi="仿宋" w:eastAsia="仿宋"/>
          <w:sz w:val="24"/>
          <w:lang w:bidi="ar"/>
        </w:rPr>
      </w:pPr>
      <w:r>
        <w:rPr>
          <w:rFonts w:hint="eastAsia" w:ascii="仿宋" w:hAnsi="仿宋" w:eastAsia="仿宋"/>
          <w:sz w:val="24"/>
          <w:lang w:bidi="ar"/>
        </w:rPr>
        <w:t>投资者基本信息：姓名、证件类型、证件号码、证件有效期、职业、学历、职务、联系电话、联系地址、证券市场参与情况、投资交易实际控制人信息、实际受益人、年收入、收入来源、诚信记录，机构名称、机构类型、营业执照、注册资本、企业性质、法定代表人/负责人、执行事务合伙人名称及证件信息、委派代表姓名及证件信息、控股股东或实际控制人姓名及证件信息，金融机构经营许可证、基金会法人登记证明、产品成立或备案证明、产品登记证明、基金管理人基本情况、托管人信息等；</w:t>
      </w:r>
    </w:p>
    <w:p>
      <w:pPr>
        <w:widowControl/>
        <w:numPr>
          <w:ilvl w:val="0"/>
          <w:numId w:val="4"/>
        </w:numPr>
        <w:spacing w:line="360" w:lineRule="auto"/>
        <w:ind w:firstLine="480" w:firstLineChars="200"/>
        <w:jc w:val="left"/>
        <w:rPr>
          <w:rFonts w:ascii="仿宋" w:hAnsi="仿宋" w:eastAsia="仿宋"/>
          <w:sz w:val="24"/>
          <w:lang w:bidi="ar"/>
        </w:rPr>
      </w:pPr>
      <w:r>
        <w:rPr>
          <w:rFonts w:hint="eastAsia" w:ascii="仿宋" w:hAnsi="仿宋" w:eastAsia="仿宋"/>
          <w:sz w:val="24"/>
          <w:lang w:bidi="ar"/>
        </w:rPr>
        <w:t>风险测评信息：风险测评问卷及回答情况；</w:t>
      </w:r>
    </w:p>
    <w:p>
      <w:pPr>
        <w:widowControl/>
        <w:numPr>
          <w:ilvl w:val="0"/>
          <w:numId w:val="4"/>
        </w:numPr>
        <w:spacing w:line="360" w:lineRule="auto"/>
        <w:ind w:firstLine="480" w:firstLineChars="200"/>
        <w:jc w:val="left"/>
        <w:rPr>
          <w:rFonts w:ascii="仿宋" w:hAnsi="仿宋" w:eastAsia="仿宋"/>
          <w:sz w:val="24"/>
          <w:lang w:bidi="ar"/>
        </w:rPr>
      </w:pPr>
      <w:r>
        <w:rPr>
          <w:rFonts w:hint="eastAsia" w:ascii="仿宋" w:hAnsi="仿宋" w:eastAsia="仿宋"/>
          <w:sz w:val="24"/>
          <w:lang w:bidi="ar"/>
        </w:rPr>
        <w:t>金融产品及服务：参与的金融产品或服务基本属性、风险属性、产品属性等信息；</w:t>
      </w:r>
    </w:p>
    <w:p>
      <w:pPr>
        <w:widowControl/>
        <w:numPr>
          <w:ilvl w:val="0"/>
          <w:numId w:val="4"/>
        </w:numPr>
        <w:spacing w:line="360" w:lineRule="auto"/>
        <w:ind w:firstLine="480" w:firstLineChars="200"/>
        <w:jc w:val="left"/>
        <w:rPr>
          <w:rFonts w:ascii="仿宋" w:hAnsi="仿宋" w:eastAsia="仿宋"/>
          <w:sz w:val="24"/>
          <w:lang w:bidi="ar"/>
        </w:rPr>
      </w:pPr>
      <w:r>
        <w:rPr>
          <w:rFonts w:hint="eastAsia" w:ascii="仿宋" w:hAnsi="仿宋" w:eastAsia="仿宋"/>
          <w:sz w:val="24"/>
          <w:lang w:bidi="ar"/>
        </w:rPr>
        <w:t>适当性管理留痕：投诉留痕、风险等级不适配留痕材料等；</w:t>
      </w:r>
    </w:p>
    <w:p>
      <w:pPr>
        <w:widowControl/>
        <w:numPr>
          <w:ilvl w:val="0"/>
          <w:numId w:val="4"/>
        </w:numPr>
        <w:spacing w:line="360" w:lineRule="auto"/>
        <w:ind w:firstLine="480" w:firstLineChars="200"/>
        <w:jc w:val="left"/>
        <w:rPr>
          <w:rFonts w:ascii="仿宋" w:hAnsi="仿宋" w:eastAsia="仿宋"/>
          <w:sz w:val="24"/>
          <w:lang w:bidi="ar"/>
        </w:rPr>
      </w:pPr>
      <w:r>
        <w:rPr>
          <w:rFonts w:hint="eastAsia" w:ascii="仿宋" w:hAnsi="仿宋" w:eastAsia="仿宋"/>
          <w:sz w:val="24"/>
          <w:lang w:bidi="ar"/>
        </w:rPr>
        <w:t>普通证券账户/信用账户/场外交易账户/股票期权账户/其他金融产品交易账户信息：账户资产情况、账户交易持仓、账户资金情况、账户交易流水等；</w:t>
      </w:r>
    </w:p>
    <w:p>
      <w:pPr>
        <w:widowControl/>
        <w:numPr>
          <w:ilvl w:val="0"/>
          <w:numId w:val="4"/>
        </w:numPr>
        <w:spacing w:line="360" w:lineRule="auto"/>
        <w:ind w:firstLine="480" w:firstLineChars="200"/>
        <w:jc w:val="left"/>
        <w:rPr>
          <w:rFonts w:ascii="仿宋" w:hAnsi="仿宋" w:eastAsia="仿宋"/>
          <w:sz w:val="24"/>
          <w:lang w:bidi="ar"/>
        </w:rPr>
      </w:pPr>
      <w:r>
        <w:rPr>
          <w:rFonts w:hint="eastAsia" w:ascii="仿宋" w:hAnsi="仿宋" w:eastAsia="仿宋"/>
          <w:sz w:val="24"/>
          <w:lang w:bidi="ar"/>
        </w:rPr>
        <w:t>投资者身份核验类信息：身份信息验证、银行卡信息验证、联系方式验证、机构信息核查、产品存续信息核查、资质验证等；</w:t>
      </w:r>
    </w:p>
    <w:p>
      <w:pPr>
        <w:widowControl/>
        <w:numPr>
          <w:ilvl w:val="0"/>
          <w:numId w:val="4"/>
        </w:numPr>
        <w:spacing w:line="360" w:lineRule="auto"/>
        <w:ind w:firstLine="480" w:firstLineChars="200"/>
        <w:jc w:val="left"/>
        <w:rPr>
          <w:rFonts w:ascii="仿宋" w:hAnsi="仿宋" w:eastAsia="仿宋"/>
          <w:sz w:val="24"/>
          <w:lang w:bidi="ar"/>
        </w:rPr>
      </w:pPr>
      <w:r>
        <w:rPr>
          <w:rFonts w:hint="eastAsia" w:ascii="仿宋" w:hAnsi="仿宋" w:eastAsia="仿宋"/>
          <w:sz w:val="24"/>
          <w:lang w:bidi="ar"/>
        </w:rPr>
        <w:t>衡量投资者诚信风险类数据：证券期货市场诚信信息、账户实名制重点关注账户名单、金融监管机构行政处罚及监管措施名单、自律处罚名单、证券交易所黑名单、司法诉讼及处罚信息、经营异常名录、重大涉税违法记录、其他信用风险相关核查名单等；</w:t>
      </w:r>
    </w:p>
    <w:p>
      <w:pPr>
        <w:widowControl/>
        <w:numPr>
          <w:ilvl w:val="0"/>
          <w:numId w:val="4"/>
        </w:numPr>
        <w:spacing w:line="360" w:lineRule="auto"/>
        <w:ind w:firstLine="480" w:firstLineChars="200"/>
        <w:jc w:val="left"/>
        <w:rPr>
          <w:rFonts w:ascii="仿宋" w:hAnsi="仿宋" w:eastAsia="仿宋"/>
          <w:sz w:val="24"/>
          <w:lang w:bidi="ar"/>
        </w:rPr>
      </w:pPr>
      <w:r>
        <w:rPr>
          <w:rFonts w:hint="eastAsia" w:ascii="仿宋" w:hAnsi="仿宋" w:eastAsia="仿宋"/>
          <w:sz w:val="24"/>
          <w:lang w:bidi="ar"/>
        </w:rPr>
        <w:t>衡量投资者风险承受能力的信息：收入证明来源说明、个人纳税申报信息、金融资产证明、上一年度经审计的企业财务报表、夫妻双方财产证明、人民银行征信报告、抵押贷款还款证明、投资知识证明材料、投资经验证明材料等。</w:t>
      </w:r>
    </w:p>
    <w:p>
      <w:pPr>
        <w:widowControl/>
        <w:spacing w:line="360" w:lineRule="auto"/>
        <w:ind w:firstLine="482" w:firstLineChars="200"/>
        <w:jc w:val="left"/>
        <w:rPr>
          <w:rFonts w:ascii="仿宋" w:hAnsi="仿宋" w:eastAsia="仿宋"/>
          <w:b/>
          <w:bCs/>
          <w:sz w:val="24"/>
          <w:lang w:bidi="ar"/>
        </w:rPr>
      </w:pPr>
      <w:r>
        <w:rPr>
          <w:rFonts w:hint="eastAsia" w:ascii="仿宋" w:hAnsi="仿宋" w:eastAsia="仿宋"/>
          <w:b/>
          <w:bCs/>
          <w:sz w:val="24"/>
          <w:lang w:bidi="ar"/>
        </w:rPr>
        <w:t>您/您机构同意并授权中银证券可将上述信息用于本协议项下及后续提供的业务、服务。您/您机构同意并授权中银证券可向中国证券登记结算有限责任公司、交易所、公安机关、您选择的基金公司或银行等相关机构传输、提供您/您机构的上述信息的部分或全部以完成开户及后续其他服务；以及出于履行监管要求、加强风险管理的目的，进行汇总、统计、分析、监管报送、司法查控、处理本业务项下及后续服务的纠纷等法律法规允许的用途。</w:t>
      </w:r>
    </w:p>
    <w:p>
      <w:pPr>
        <w:widowControl/>
        <w:spacing w:line="360" w:lineRule="auto"/>
        <w:ind w:firstLine="482" w:firstLineChars="200"/>
        <w:jc w:val="left"/>
        <w:rPr>
          <w:rFonts w:hint="eastAsia" w:ascii="仿宋" w:hAnsi="仿宋" w:eastAsia="仿宋"/>
          <w:b/>
          <w:bCs/>
          <w:sz w:val="24"/>
          <w:lang w:bidi="ar"/>
        </w:rPr>
      </w:pPr>
      <w:r>
        <w:rPr>
          <w:rFonts w:hint="eastAsia" w:ascii="仿宋" w:hAnsi="仿宋" w:eastAsia="仿宋"/>
          <w:b/>
          <w:bCs/>
          <w:sz w:val="24"/>
          <w:lang w:bidi="ar"/>
        </w:rPr>
        <w:t>您/您机构知悉并理解，上述信息对中银证券完成客户开户及提供后续服务十分必要。如果您/您机构不提供上述信息，中银证券将无法向您提供开户及提供后续服务。我们将按照相关法律法规及行业监管要求的保存期限对您的个人信息进行保存。您/您机构与我司服务关系终止时，我司将终止使用合法引入的信息进行投资者评估等相关工作，且对所持有的个人信息进行删除或匿名化处理。</w:t>
      </w:r>
    </w:p>
    <w:p>
      <w:pPr>
        <w:widowControl/>
        <w:spacing w:line="360" w:lineRule="auto"/>
        <w:ind w:firstLine="482" w:firstLineChars="200"/>
        <w:jc w:val="left"/>
        <w:rPr>
          <w:rFonts w:hint="eastAsia" w:ascii="仿宋" w:hAnsi="仿宋" w:eastAsia="仿宋"/>
          <w:b/>
          <w:bCs/>
          <w:sz w:val="24"/>
          <w:lang w:bidi="ar"/>
        </w:rPr>
      </w:pPr>
      <w:r>
        <w:rPr>
          <w:rFonts w:hint="eastAsia" w:ascii="仿宋" w:hAnsi="仿宋" w:eastAsia="仿宋"/>
          <w:b/>
          <w:bCs/>
          <w:sz w:val="24"/>
          <w:lang w:bidi="ar"/>
        </w:rPr>
        <w:t>如您为未成年人，请您的父母或监护人阅读本协议，并请您在取得父母或监护人同意的前提下使用我们的服务或向我们提供您的信息 （若您是十六周岁以上不满十八周岁以自己的劳动收入为主要生活来源的未成年人，则视为完全民事行为能力人，您有权独立签署本协议并接受服务）。如您的监护人不同意您按照本协议使用我们的服务或向我们提供信息，请您立即终止使用我们的服务并及时通知我们。中银证券将根据国家相关法律法规的规定保障未成年人的个人信息的保密性及安全性。</w:t>
      </w:r>
    </w:p>
    <w:p>
      <w:pPr>
        <w:widowControl/>
        <w:spacing w:line="360" w:lineRule="auto"/>
        <w:ind w:firstLine="482" w:firstLineChars="200"/>
        <w:jc w:val="left"/>
        <w:rPr>
          <w:rFonts w:hint="eastAsia"/>
          <w:lang w:eastAsia="zh-CN"/>
        </w:rPr>
      </w:pPr>
      <w:r>
        <w:rPr>
          <w:rFonts w:hint="eastAsia" w:ascii="仿宋" w:hAnsi="仿宋" w:eastAsia="仿宋"/>
          <w:b/>
          <w:bCs/>
          <w:sz w:val="24"/>
          <w:lang w:bidi="ar"/>
        </w:rPr>
        <w:t>您/您机构有权查询、更正、删除您的个人信息，或撤回本授权。您可通过以下方式联系我们行使权利：客服热线：956026 电子邮箱：webmaster@bocichina.com。我们将在验证您用户身份的15个工作日内回复。</w:t>
      </w:r>
    </w:p>
    <w:p>
      <w:pPr>
        <w:spacing w:line="360" w:lineRule="auto"/>
        <w:ind w:firstLine="472" w:firstLineChars="196"/>
        <w:rPr>
          <w:rFonts w:ascii="仿宋" w:hAnsi="仿宋" w:eastAsia="仿宋"/>
          <w:b/>
          <w:sz w:val="24"/>
        </w:rPr>
      </w:pPr>
      <w:r>
        <w:rPr>
          <w:rFonts w:hint="eastAsia" w:ascii="仿宋" w:hAnsi="仿宋" w:eastAsia="仿宋"/>
          <w:b/>
          <w:sz w:val="24"/>
        </w:rPr>
        <w:t>本投资者确认已详细阅读并完全理解了上述的各项内容，在签署页签署视同签署认可。</w:t>
      </w:r>
    </w:p>
    <w:p>
      <w:pPr>
        <w:pStyle w:val="2"/>
      </w:pPr>
    </w:p>
    <w:p>
      <w:pPr>
        <w:widowControl/>
        <w:jc w:val="left"/>
        <w:rPr>
          <w:szCs w:val="20"/>
        </w:rPr>
      </w:pPr>
      <w:r>
        <w:br w:type="page"/>
      </w:r>
    </w:p>
    <w:p>
      <w:pPr>
        <w:pStyle w:val="19"/>
        <w:numPr>
          <w:ilvl w:val="0"/>
          <w:numId w:val="1"/>
        </w:numPr>
        <w:rPr>
          <w:rFonts w:hint="eastAsia" w:ascii="仿宋" w:hAnsi="仿宋" w:eastAsia="仿宋"/>
          <w:bCs w:val="0"/>
          <w:kern w:val="0"/>
        </w:rPr>
      </w:pPr>
      <w:bookmarkStart w:id="192" w:name="_Toc12556"/>
      <w:bookmarkStart w:id="193" w:name="_Toc9602"/>
      <w:r>
        <w:rPr>
          <w:rFonts w:hint="eastAsia" w:ascii="仿宋" w:hAnsi="仿宋" w:eastAsia="仿宋"/>
          <w:bCs w:val="0"/>
          <w:kern w:val="0"/>
        </w:rPr>
        <w:t>程序化交易服务协议</w:t>
      </w:r>
      <w:bookmarkEnd w:id="192"/>
      <w:bookmarkEnd w:id="193"/>
    </w:p>
    <w:p>
      <w:pPr>
        <w:spacing w:line="360" w:lineRule="auto"/>
        <w:ind w:firstLine="480" w:firstLineChars="200"/>
        <w:rPr>
          <w:rFonts w:ascii="仿宋" w:hAnsi="仿宋" w:eastAsia="仿宋"/>
          <w:sz w:val="24"/>
          <w:szCs w:val="24"/>
        </w:rPr>
      </w:pPr>
      <w:r>
        <w:rPr>
          <w:rFonts w:ascii="仿宋" w:hAnsi="仿宋" w:eastAsia="仿宋"/>
          <w:sz w:val="24"/>
          <w:szCs w:val="24"/>
        </w:rPr>
        <w:t>依据《中华人民共和国民法典》《中华人民共和国证券法》《证券市场程序化交易管理规定(试行)》、上海/深圳/北京证券交易所(以下统称“证券交易所”)《程序化交易管理实施细则》及其他相关法律法规、监管规定、自律规则等规定， 甲乙双方经友好协商，就甲方委托乙方代理开展程序化交易 (以下简称“程序化交易”) 有关事宜达成如下协议：</w:t>
      </w:r>
    </w:p>
    <w:p>
      <w:pPr>
        <w:numPr>
          <w:ilvl w:val="0"/>
          <w:numId w:val="0"/>
        </w:numPr>
        <w:spacing w:line="360" w:lineRule="auto"/>
        <w:ind w:firstLine="480" w:firstLineChars="200"/>
        <w:rPr>
          <w:rFonts w:ascii="仿宋" w:hAnsi="仿宋" w:eastAsia="仿宋"/>
          <w:sz w:val="24"/>
          <w:szCs w:val="24"/>
        </w:rPr>
      </w:pPr>
      <w:r>
        <w:rPr>
          <w:rFonts w:hint="eastAsia" w:ascii="仿宋" w:hAnsi="仿宋" w:eastAsia="仿宋"/>
          <w:sz w:val="24"/>
          <w:szCs w:val="24"/>
          <w:lang w:val="en-US" w:eastAsia="zh-CN"/>
        </w:rPr>
        <w:t xml:space="preserve">第一条 </w:t>
      </w:r>
      <w:r>
        <w:rPr>
          <w:rFonts w:ascii="仿宋" w:hAnsi="仿宋" w:eastAsia="仿宋"/>
          <w:sz w:val="24"/>
          <w:szCs w:val="24"/>
        </w:rPr>
        <w:t>本协议所称程序化交易，是指通过计算机程序自动生成或者下达交易指令参与证券交易所证券交易的行为，包括按照设定的策略自动选择特定的证券和时机进行交易，或者按照设定的算法自动执行交易指令以及其他符合程序化交易特征的行为。在证券交易所市场进行股票、债券、基金、存托凭证等证券程序化交易的，应当遵守本协议。</w:t>
      </w:r>
    </w:p>
    <w:p>
      <w:pPr>
        <w:spacing w:line="360" w:lineRule="auto"/>
        <w:ind w:firstLine="480" w:firstLineChars="200"/>
        <w:rPr>
          <w:rFonts w:ascii="仿宋" w:hAnsi="仿宋" w:eastAsia="仿宋"/>
          <w:sz w:val="24"/>
          <w:szCs w:val="24"/>
        </w:rPr>
      </w:pPr>
      <w:r>
        <w:rPr>
          <w:rFonts w:ascii="仿宋" w:hAnsi="仿宋" w:eastAsia="仿宋"/>
          <w:sz w:val="24"/>
          <w:szCs w:val="24"/>
        </w:rPr>
        <w:t>第二条 甲方应当按照证券交易所要求和本协议约定及时履行报告义务，确保其报告的信息真实、准确、完整，并承诺其使用的程序化交易策略及技术系统符合法律法规及证券交易所业务规则的规定。</w:t>
      </w:r>
    </w:p>
    <w:p>
      <w:pPr>
        <w:spacing w:line="360" w:lineRule="auto"/>
        <w:ind w:firstLine="480" w:firstLineChars="200"/>
        <w:rPr>
          <w:rFonts w:ascii="仿宋" w:hAnsi="仿宋" w:eastAsia="仿宋"/>
          <w:sz w:val="24"/>
          <w:szCs w:val="24"/>
        </w:rPr>
      </w:pPr>
      <w:r>
        <w:rPr>
          <w:rFonts w:ascii="仿宋" w:hAnsi="仿宋" w:eastAsia="仿宋"/>
          <w:sz w:val="24"/>
          <w:szCs w:val="24"/>
        </w:rPr>
        <w:t>第三条 甲方首次开展程序化交易前，应当向乙方报告。乙方应当根据证券交易所要求对甲方提供的信息、资料等进行充分核查。乙方核查后，应及时向甲方确认，并向证券交易所报告。若发现甲方报告信息不全或对其存有疑义的，乙方有权要求甲方进行材料补充或作出相关解释。甲方在收到乙方确认反馈后，方可进行程序化交易。甲方应报告的信息包括：</w:t>
      </w:r>
    </w:p>
    <w:p>
      <w:pPr>
        <w:spacing w:line="360" w:lineRule="auto"/>
        <w:ind w:firstLine="480" w:firstLineChars="200"/>
        <w:rPr>
          <w:rFonts w:ascii="仿宋" w:hAnsi="仿宋" w:eastAsia="仿宋"/>
          <w:sz w:val="24"/>
          <w:szCs w:val="24"/>
        </w:rPr>
      </w:pPr>
      <w:r>
        <w:rPr>
          <w:rFonts w:ascii="仿宋" w:hAnsi="仿宋" w:eastAsia="仿宋"/>
          <w:sz w:val="24"/>
          <w:szCs w:val="24"/>
        </w:rPr>
        <w:t>(一)账户基本信息，包括投资者名称、证券账户代码、指定交易的会员/托管会员机构、产品管理人等；</w:t>
      </w:r>
    </w:p>
    <w:p>
      <w:pPr>
        <w:spacing w:line="360" w:lineRule="auto"/>
        <w:ind w:firstLine="480" w:firstLineChars="200"/>
        <w:rPr>
          <w:rFonts w:ascii="仿宋" w:hAnsi="仿宋" w:eastAsia="仿宋"/>
          <w:sz w:val="24"/>
          <w:szCs w:val="24"/>
        </w:rPr>
      </w:pPr>
      <w:r>
        <w:rPr>
          <w:rFonts w:ascii="仿宋" w:hAnsi="仿宋" w:eastAsia="仿宋"/>
          <w:sz w:val="24"/>
          <w:szCs w:val="24"/>
        </w:rPr>
        <w:t>(二) 账户资金信息，包括账户的资金规模及来源，杠杆资金规模及来源、杠杆率等；</w:t>
      </w:r>
    </w:p>
    <w:p>
      <w:pPr>
        <w:spacing w:line="360" w:lineRule="auto"/>
        <w:ind w:firstLine="480" w:firstLineChars="200"/>
        <w:rPr>
          <w:rFonts w:ascii="仿宋" w:hAnsi="仿宋" w:eastAsia="仿宋"/>
          <w:sz w:val="24"/>
          <w:szCs w:val="24"/>
        </w:rPr>
      </w:pPr>
      <w:r>
        <w:rPr>
          <w:rFonts w:ascii="仿宋" w:hAnsi="仿宋" w:eastAsia="仿宋"/>
          <w:sz w:val="24"/>
          <w:szCs w:val="24"/>
        </w:rPr>
        <w:t>(三) 账户交易信息，包括交易策略类型及主要内容、交易指令执行方式、最高申报速率、单日最高申报笔数等；</w:t>
      </w:r>
    </w:p>
    <w:p>
      <w:pPr>
        <w:spacing w:line="360" w:lineRule="auto"/>
        <w:ind w:firstLine="480" w:firstLineChars="200"/>
        <w:rPr>
          <w:rFonts w:ascii="仿宋" w:hAnsi="仿宋" w:eastAsia="仿宋"/>
          <w:sz w:val="24"/>
          <w:szCs w:val="24"/>
        </w:rPr>
      </w:pPr>
      <w:r>
        <w:rPr>
          <w:rFonts w:ascii="仿宋" w:hAnsi="仿宋" w:eastAsia="仿宋"/>
          <w:sz w:val="24"/>
          <w:szCs w:val="24"/>
        </w:rPr>
        <w:t>(四) 交易软件信息，包括软件名称及版本号、开发主体等；</w:t>
      </w:r>
    </w:p>
    <w:p>
      <w:pPr>
        <w:spacing w:line="360" w:lineRule="auto"/>
        <w:ind w:firstLine="480" w:firstLineChars="200"/>
        <w:rPr>
          <w:rFonts w:ascii="仿宋" w:hAnsi="仿宋" w:eastAsia="仿宋"/>
          <w:sz w:val="24"/>
          <w:szCs w:val="24"/>
        </w:rPr>
      </w:pPr>
      <w:r>
        <w:rPr>
          <w:rFonts w:ascii="仿宋" w:hAnsi="仿宋" w:eastAsia="仿宋"/>
          <w:sz w:val="24"/>
          <w:szCs w:val="24"/>
        </w:rPr>
        <w:t>(五) 联络信息，包括甲方联络人及联系方式等；</w:t>
      </w:r>
    </w:p>
    <w:p>
      <w:pPr>
        <w:spacing w:line="360" w:lineRule="auto"/>
        <w:ind w:firstLine="480" w:firstLineChars="200"/>
        <w:rPr>
          <w:rFonts w:ascii="仿宋" w:hAnsi="仿宋" w:eastAsia="仿宋"/>
          <w:sz w:val="24"/>
          <w:szCs w:val="24"/>
        </w:rPr>
      </w:pPr>
      <w:r>
        <w:rPr>
          <w:rFonts w:ascii="仿宋" w:hAnsi="仿宋" w:eastAsia="仿宋"/>
          <w:sz w:val="24"/>
          <w:szCs w:val="24"/>
        </w:rPr>
        <w:t>(六) 证券交易所规定或乙方要求的其他信息。</w:t>
      </w:r>
    </w:p>
    <w:p>
      <w:pPr>
        <w:spacing w:line="360" w:lineRule="auto"/>
        <w:ind w:firstLine="480" w:firstLineChars="200"/>
        <w:rPr>
          <w:rFonts w:ascii="仿宋" w:hAnsi="仿宋" w:eastAsia="仿宋"/>
          <w:sz w:val="24"/>
          <w:szCs w:val="24"/>
        </w:rPr>
      </w:pPr>
      <w:r>
        <w:rPr>
          <w:rFonts w:ascii="仿宋" w:hAnsi="仿宋" w:eastAsia="仿宋"/>
          <w:sz w:val="24"/>
          <w:szCs w:val="24"/>
        </w:rPr>
        <w:t>如甲方使用乙方提供的交易软件进行程序化交易，乙方应向甲方提供交易软件信息并对相关信息负责。</w:t>
      </w:r>
    </w:p>
    <w:p>
      <w:pPr>
        <w:spacing w:line="360" w:lineRule="auto"/>
        <w:ind w:firstLine="480" w:firstLineChars="200"/>
        <w:rPr>
          <w:rFonts w:ascii="仿宋" w:hAnsi="仿宋" w:eastAsia="仿宋"/>
          <w:sz w:val="24"/>
          <w:szCs w:val="24"/>
        </w:rPr>
      </w:pPr>
      <w:r>
        <w:rPr>
          <w:rFonts w:ascii="仿宋" w:hAnsi="仿宋" w:eastAsia="仿宋"/>
          <w:sz w:val="24"/>
          <w:szCs w:val="24"/>
        </w:rPr>
        <w:t>第四条 甲方报告信息发生重大变更的，应当在变更发生后下一个自然月的第五个交易日之前向乙方进行变更报告。证券交易所另有规定的，从其规定。</w:t>
      </w:r>
    </w:p>
    <w:p>
      <w:pPr>
        <w:spacing w:line="360" w:lineRule="auto"/>
        <w:ind w:firstLine="480" w:firstLineChars="200"/>
        <w:rPr>
          <w:rFonts w:ascii="仿宋" w:hAnsi="仿宋" w:eastAsia="仿宋"/>
          <w:sz w:val="24"/>
          <w:szCs w:val="24"/>
        </w:rPr>
      </w:pPr>
      <w:r>
        <w:rPr>
          <w:rFonts w:ascii="仿宋" w:hAnsi="仿宋" w:eastAsia="仿宋"/>
          <w:sz w:val="24"/>
          <w:szCs w:val="24"/>
        </w:rPr>
        <w:t>已报告信息存在下列情形之一，达到证券交易所要求的，属于重大变更：</w:t>
      </w:r>
    </w:p>
    <w:p>
      <w:pPr>
        <w:spacing w:line="360" w:lineRule="auto"/>
        <w:ind w:firstLine="480" w:firstLineChars="200"/>
        <w:rPr>
          <w:rFonts w:ascii="仿宋" w:hAnsi="仿宋" w:eastAsia="仿宋"/>
          <w:sz w:val="24"/>
          <w:szCs w:val="24"/>
        </w:rPr>
      </w:pPr>
      <w:r>
        <w:rPr>
          <w:rFonts w:hint="eastAsia" w:ascii="仿宋" w:hAnsi="仿宋" w:eastAsia="仿宋"/>
          <w:sz w:val="24"/>
          <w:szCs w:val="24"/>
          <w:lang w:eastAsia="zh-CN"/>
        </w:rPr>
        <w:t>（</w:t>
      </w:r>
      <w:r>
        <w:rPr>
          <w:rFonts w:hint="eastAsia" w:ascii="仿宋" w:hAnsi="仿宋" w:eastAsia="仿宋"/>
          <w:sz w:val="24"/>
          <w:szCs w:val="24"/>
          <w:lang w:val="en-US" w:eastAsia="zh-CN"/>
        </w:rPr>
        <w:t>一</w:t>
      </w:r>
      <w:r>
        <w:rPr>
          <w:rFonts w:hint="eastAsia" w:ascii="仿宋" w:hAnsi="仿宋" w:eastAsia="仿宋"/>
          <w:sz w:val="24"/>
          <w:szCs w:val="24"/>
          <w:lang w:eastAsia="zh-CN"/>
        </w:rPr>
        <w:t>）</w:t>
      </w:r>
      <w:r>
        <w:rPr>
          <w:rFonts w:ascii="仿宋" w:hAnsi="仿宋" w:eastAsia="仿宋"/>
          <w:sz w:val="24"/>
          <w:szCs w:val="24"/>
        </w:rPr>
        <w:t>账户资金规模较此前报告情况发生明显变化；</w:t>
      </w:r>
    </w:p>
    <w:p>
      <w:pPr>
        <w:spacing w:line="360" w:lineRule="auto"/>
        <w:ind w:firstLine="480" w:firstLineChars="200"/>
        <w:rPr>
          <w:rFonts w:ascii="仿宋" w:hAnsi="仿宋" w:eastAsia="仿宋"/>
          <w:sz w:val="24"/>
          <w:szCs w:val="24"/>
        </w:rPr>
      </w:pPr>
      <w:r>
        <w:rPr>
          <w:rFonts w:hint="eastAsia" w:ascii="仿宋" w:hAnsi="仿宋" w:eastAsia="仿宋"/>
          <w:sz w:val="24"/>
          <w:szCs w:val="24"/>
          <w:lang w:eastAsia="zh-CN"/>
        </w:rPr>
        <w:t>（</w:t>
      </w:r>
      <w:r>
        <w:rPr>
          <w:rFonts w:hint="eastAsia" w:ascii="仿宋" w:hAnsi="仿宋" w:eastAsia="仿宋"/>
          <w:sz w:val="24"/>
          <w:szCs w:val="24"/>
          <w:lang w:val="en-US" w:eastAsia="zh-CN"/>
        </w:rPr>
        <w:t>二</w:t>
      </w:r>
      <w:r>
        <w:rPr>
          <w:rFonts w:hint="eastAsia" w:ascii="仿宋" w:hAnsi="仿宋" w:eastAsia="仿宋"/>
          <w:sz w:val="24"/>
          <w:szCs w:val="24"/>
          <w:lang w:eastAsia="zh-CN"/>
        </w:rPr>
        <w:t>）</w:t>
      </w:r>
      <w:r>
        <w:rPr>
          <w:rFonts w:ascii="仿宋" w:hAnsi="仿宋" w:eastAsia="仿宋"/>
          <w:sz w:val="24"/>
          <w:szCs w:val="24"/>
        </w:rPr>
        <w:t>杠杆资金来源发生变更或者规模较此前报告情况 发生明显变化；</w:t>
      </w:r>
    </w:p>
    <w:p>
      <w:pPr>
        <w:spacing w:line="360" w:lineRule="auto"/>
        <w:ind w:firstLine="480" w:firstLineChars="200"/>
        <w:rPr>
          <w:rFonts w:ascii="仿宋" w:hAnsi="仿宋" w:eastAsia="仿宋"/>
          <w:sz w:val="24"/>
          <w:szCs w:val="24"/>
        </w:rPr>
      </w:pPr>
      <w:r>
        <w:rPr>
          <w:rFonts w:hint="eastAsia" w:ascii="仿宋" w:hAnsi="仿宋" w:eastAsia="仿宋"/>
          <w:sz w:val="24"/>
          <w:szCs w:val="24"/>
          <w:lang w:eastAsia="zh-CN"/>
        </w:rPr>
        <w:t>（</w:t>
      </w:r>
      <w:r>
        <w:rPr>
          <w:rFonts w:hint="eastAsia" w:ascii="仿宋" w:hAnsi="仿宋" w:eastAsia="仿宋"/>
          <w:sz w:val="24"/>
          <w:szCs w:val="24"/>
          <w:lang w:val="en-US" w:eastAsia="zh-CN"/>
        </w:rPr>
        <w:t>三</w:t>
      </w:r>
      <w:r>
        <w:rPr>
          <w:rFonts w:hint="eastAsia" w:ascii="仿宋" w:hAnsi="仿宋" w:eastAsia="仿宋"/>
          <w:sz w:val="24"/>
          <w:szCs w:val="24"/>
          <w:lang w:eastAsia="zh-CN"/>
        </w:rPr>
        <w:t>）</w:t>
      </w:r>
      <w:r>
        <w:rPr>
          <w:rFonts w:ascii="仿宋" w:hAnsi="仿宋" w:eastAsia="仿宋"/>
          <w:sz w:val="24"/>
          <w:szCs w:val="24"/>
        </w:rPr>
        <w:t>联络人发生变更；</w:t>
      </w:r>
    </w:p>
    <w:p>
      <w:pPr>
        <w:spacing w:line="360" w:lineRule="auto"/>
        <w:ind w:firstLine="480" w:firstLineChars="200"/>
        <w:rPr>
          <w:rFonts w:ascii="仿宋" w:hAnsi="仿宋" w:eastAsia="仿宋"/>
          <w:sz w:val="24"/>
          <w:szCs w:val="24"/>
        </w:rPr>
      </w:pPr>
      <w:r>
        <w:rPr>
          <w:rFonts w:hint="eastAsia" w:ascii="仿宋" w:hAnsi="仿宋" w:eastAsia="仿宋"/>
          <w:sz w:val="24"/>
          <w:szCs w:val="24"/>
          <w:lang w:eastAsia="zh-CN"/>
        </w:rPr>
        <w:t>（</w:t>
      </w:r>
      <w:r>
        <w:rPr>
          <w:rFonts w:hint="eastAsia" w:ascii="仿宋" w:hAnsi="仿宋" w:eastAsia="仿宋"/>
          <w:sz w:val="24"/>
          <w:szCs w:val="24"/>
          <w:lang w:val="en-US" w:eastAsia="zh-CN"/>
        </w:rPr>
        <w:t>四</w:t>
      </w:r>
      <w:r>
        <w:rPr>
          <w:rFonts w:hint="eastAsia" w:ascii="仿宋" w:hAnsi="仿宋" w:eastAsia="仿宋"/>
          <w:sz w:val="24"/>
          <w:szCs w:val="24"/>
          <w:lang w:eastAsia="zh-CN"/>
        </w:rPr>
        <w:t>）</w:t>
      </w:r>
      <w:r>
        <w:rPr>
          <w:rFonts w:ascii="仿宋" w:hAnsi="仿宋" w:eastAsia="仿宋"/>
          <w:sz w:val="24"/>
          <w:szCs w:val="24"/>
        </w:rPr>
        <w:t>账户最高申报速率或账户单日最高申报笔数发生变更；</w:t>
      </w:r>
    </w:p>
    <w:p>
      <w:pPr>
        <w:spacing w:line="360" w:lineRule="auto"/>
        <w:ind w:firstLine="480" w:firstLineChars="200"/>
        <w:rPr>
          <w:rFonts w:ascii="仿宋" w:hAnsi="仿宋" w:eastAsia="仿宋"/>
          <w:sz w:val="24"/>
          <w:szCs w:val="24"/>
        </w:rPr>
      </w:pPr>
      <w:r>
        <w:rPr>
          <w:rFonts w:hint="eastAsia" w:ascii="仿宋" w:hAnsi="仿宋" w:eastAsia="仿宋"/>
          <w:sz w:val="24"/>
          <w:szCs w:val="24"/>
          <w:lang w:eastAsia="zh-CN"/>
        </w:rPr>
        <w:t>（</w:t>
      </w:r>
      <w:r>
        <w:rPr>
          <w:rFonts w:hint="eastAsia" w:ascii="仿宋" w:hAnsi="仿宋" w:eastAsia="仿宋"/>
          <w:sz w:val="24"/>
          <w:szCs w:val="24"/>
          <w:lang w:val="en-US" w:eastAsia="zh-CN"/>
        </w:rPr>
        <w:t>五</w:t>
      </w:r>
      <w:r>
        <w:rPr>
          <w:rFonts w:hint="eastAsia" w:ascii="仿宋" w:hAnsi="仿宋" w:eastAsia="仿宋"/>
          <w:sz w:val="24"/>
          <w:szCs w:val="24"/>
          <w:lang w:eastAsia="zh-CN"/>
        </w:rPr>
        <w:t>）</w:t>
      </w:r>
      <w:r>
        <w:rPr>
          <w:rFonts w:ascii="仿宋" w:hAnsi="仿宋" w:eastAsia="仿宋"/>
          <w:sz w:val="24"/>
          <w:szCs w:val="24"/>
        </w:rPr>
        <w:t>主要交易策略发生变更；</w:t>
      </w:r>
    </w:p>
    <w:p>
      <w:pPr>
        <w:spacing w:line="360" w:lineRule="auto"/>
        <w:ind w:firstLine="480" w:firstLineChars="200"/>
        <w:rPr>
          <w:rFonts w:ascii="仿宋" w:hAnsi="仿宋" w:eastAsia="仿宋"/>
          <w:sz w:val="24"/>
          <w:szCs w:val="24"/>
        </w:rPr>
      </w:pPr>
      <w:r>
        <w:rPr>
          <w:rFonts w:hint="eastAsia" w:ascii="仿宋" w:hAnsi="仿宋" w:eastAsia="仿宋"/>
          <w:sz w:val="24"/>
          <w:szCs w:val="24"/>
          <w:lang w:eastAsia="zh-CN"/>
        </w:rPr>
        <w:t>（</w:t>
      </w:r>
      <w:r>
        <w:rPr>
          <w:rFonts w:hint="eastAsia" w:ascii="仿宋" w:hAnsi="仿宋" w:eastAsia="仿宋"/>
          <w:sz w:val="24"/>
          <w:szCs w:val="24"/>
          <w:lang w:val="en-US" w:eastAsia="zh-CN"/>
        </w:rPr>
        <w:t>六</w:t>
      </w:r>
      <w:r>
        <w:rPr>
          <w:rFonts w:hint="eastAsia" w:ascii="仿宋" w:hAnsi="仿宋" w:eastAsia="仿宋"/>
          <w:sz w:val="24"/>
          <w:szCs w:val="24"/>
          <w:lang w:eastAsia="zh-CN"/>
        </w:rPr>
        <w:t>）</w:t>
      </w:r>
      <w:r>
        <w:rPr>
          <w:rFonts w:ascii="仿宋" w:hAnsi="仿宋" w:eastAsia="仿宋"/>
          <w:sz w:val="24"/>
          <w:szCs w:val="24"/>
        </w:rPr>
        <w:t>交易软件信息发生变更；</w:t>
      </w:r>
    </w:p>
    <w:p>
      <w:pPr>
        <w:spacing w:line="360" w:lineRule="auto"/>
        <w:ind w:firstLine="480" w:firstLineChars="200"/>
        <w:rPr>
          <w:rFonts w:ascii="仿宋" w:hAnsi="仿宋" w:eastAsia="仿宋"/>
          <w:sz w:val="24"/>
          <w:szCs w:val="24"/>
        </w:rPr>
      </w:pPr>
      <w:r>
        <w:rPr>
          <w:rFonts w:hint="eastAsia" w:ascii="仿宋" w:hAnsi="仿宋" w:eastAsia="仿宋"/>
          <w:sz w:val="24"/>
          <w:szCs w:val="24"/>
          <w:lang w:eastAsia="zh-CN"/>
        </w:rPr>
        <w:t>（</w:t>
      </w:r>
      <w:r>
        <w:rPr>
          <w:rFonts w:hint="eastAsia" w:ascii="仿宋" w:hAnsi="仿宋" w:eastAsia="仿宋"/>
          <w:sz w:val="24"/>
          <w:szCs w:val="24"/>
          <w:lang w:val="en-US" w:eastAsia="zh-CN"/>
        </w:rPr>
        <w:t>七</w:t>
      </w:r>
      <w:r>
        <w:rPr>
          <w:rFonts w:hint="eastAsia" w:ascii="仿宋" w:hAnsi="仿宋" w:eastAsia="仿宋"/>
          <w:sz w:val="24"/>
          <w:szCs w:val="24"/>
          <w:lang w:eastAsia="zh-CN"/>
        </w:rPr>
        <w:t>）</w:t>
      </w:r>
      <w:r>
        <w:rPr>
          <w:rFonts w:ascii="仿宋" w:hAnsi="仿宋" w:eastAsia="仿宋"/>
          <w:sz w:val="24"/>
          <w:szCs w:val="24"/>
        </w:rPr>
        <w:t>账户停止进行程序化交易；</w:t>
      </w:r>
    </w:p>
    <w:p>
      <w:pPr>
        <w:spacing w:line="360" w:lineRule="auto"/>
        <w:ind w:firstLine="480" w:firstLineChars="200"/>
        <w:rPr>
          <w:rFonts w:ascii="仿宋" w:hAnsi="仿宋" w:eastAsia="仿宋"/>
          <w:sz w:val="24"/>
          <w:szCs w:val="24"/>
        </w:rPr>
      </w:pPr>
      <w:r>
        <w:rPr>
          <w:rFonts w:hint="eastAsia" w:ascii="仿宋" w:hAnsi="仿宋" w:eastAsia="仿宋"/>
          <w:sz w:val="24"/>
          <w:szCs w:val="24"/>
          <w:lang w:eastAsia="zh-CN"/>
        </w:rPr>
        <w:t>（</w:t>
      </w:r>
      <w:r>
        <w:rPr>
          <w:rFonts w:hint="eastAsia" w:ascii="仿宋" w:hAnsi="仿宋" w:eastAsia="仿宋"/>
          <w:sz w:val="24"/>
          <w:szCs w:val="24"/>
          <w:lang w:val="en-US" w:eastAsia="zh-CN"/>
        </w:rPr>
        <w:t>八</w:t>
      </w:r>
      <w:r>
        <w:rPr>
          <w:rFonts w:hint="eastAsia" w:ascii="仿宋" w:hAnsi="仿宋" w:eastAsia="仿宋"/>
          <w:sz w:val="24"/>
          <w:szCs w:val="24"/>
          <w:lang w:eastAsia="zh-CN"/>
        </w:rPr>
        <w:t>）</w:t>
      </w:r>
      <w:r>
        <w:rPr>
          <w:rFonts w:ascii="仿宋" w:hAnsi="仿宋" w:eastAsia="仿宋"/>
          <w:sz w:val="24"/>
          <w:szCs w:val="24"/>
        </w:rPr>
        <w:t>证券交易所认定的其他重大变更情形。</w:t>
      </w:r>
    </w:p>
    <w:p>
      <w:pPr>
        <w:spacing w:line="360" w:lineRule="auto"/>
        <w:ind w:firstLine="480" w:firstLineChars="200"/>
        <w:rPr>
          <w:rFonts w:ascii="仿宋" w:hAnsi="仿宋" w:eastAsia="仿宋"/>
          <w:sz w:val="24"/>
          <w:szCs w:val="24"/>
        </w:rPr>
      </w:pPr>
      <w:r>
        <w:rPr>
          <w:rFonts w:ascii="仿宋" w:hAnsi="仿宋" w:eastAsia="仿宋"/>
          <w:sz w:val="24"/>
          <w:szCs w:val="24"/>
        </w:rPr>
        <w:t>甲方为公募基金管理人及其子公司、从事资产管理业务的证券公司、合格境外投资者及证券交易所认定的其他投资者时，以减少大额订单对市场冲击或者保障不同投资组合交易公平性为目的,在交易环节按照设定的拆单算法自动执行 交易指令，且已按照本协议第三条规定履行报告义务的，如账户资金规模、杠杆资金来源、杠杆资金规模发生重大变更的，应在下一个季度的第五个交易日之前向乙方进行变更报告。</w:t>
      </w:r>
    </w:p>
    <w:p>
      <w:pPr>
        <w:spacing w:line="360" w:lineRule="auto"/>
        <w:ind w:firstLine="480" w:firstLineChars="200"/>
        <w:rPr>
          <w:rFonts w:ascii="仿宋" w:hAnsi="仿宋" w:eastAsia="仿宋"/>
          <w:sz w:val="24"/>
          <w:szCs w:val="24"/>
        </w:rPr>
      </w:pPr>
      <w:r>
        <w:rPr>
          <w:rFonts w:ascii="仿宋" w:hAnsi="仿宋" w:eastAsia="仿宋"/>
          <w:sz w:val="24"/>
          <w:szCs w:val="24"/>
        </w:rPr>
        <w:t>第五条 乙方在收到甲方报告后，应当及时向甲方反馈确认并在五个交易日内向证券交易所报告。</w:t>
      </w:r>
    </w:p>
    <w:p>
      <w:pPr>
        <w:spacing w:line="360" w:lineRule="auto"/>
        <w:ind w:firstLine="480" w:firstLineChars="200"/>
        <w:rPr>
          <w:rFonts w:ascii="仿宋" w:hAnsi="仿宋" w:eastAsia="仿宋"/>
          <w:sz w:val="24"/>
          <w:szCs w:val="24"/>
        </w:rPr>
      </w:pPr>
      <w:r>
        <w:rPr>
          <w:rFonts w:ascii="仿宋" w:hAnsi="仿宋" w:eastAsia="仿宋"/>
          <w:sz w:val="24"/>
          <w:szCs w:val="24"/>
        </w:rPr>
        <w:t>第六条 乙方有权对甲方进行监测识别和报告核查。对甲方的程序化交易报告信息进行充分核查，包括但不限于对甲方身份进行穿透核查，对账户资金信息、账户交易信息和交易软件信息等进行核查。甲方应予以配合，真实、完整、准确、及时地提供相关资料。</w:t>
      </w:r>
    </w:p>
    <w:p>
      <w:pPr>
        <w:spacing w:line="360" w:lineRule="auto"/>
        <w:ind w:firstLine="480" w:firstLineChars="200"/>
        <w:rPr>
          <w:rFonts w:ascii="仿宋" w:hAnsi="仿宋" w:eastAsia="仿宋"/>
          <w:sz w:val="24"/>
          <w:szCs w:val="24"/>
        </w:rPr>
      </w:pPr>
      <w:r>
        <w:rPr>
          <w:rFonts w:ascii="仿宋" w:hAnsi="仿宋" w:eastAsia="仿宋"/>
          <w:sz w:val="24"/>
          <w:szCs w:val="24"/>
        </w:rPr>
        <w:t>甲方不按要求报告、变更报告相关信息，或者报告信息不实的，经乙方督促后仍不按规定报告、变更报告或者拒绝 配合乙方开展核查的，乙方有权拒绝甲方的程序化交易申请、停止提供程序化交易服务、拒绝接受甲方程序化交易委托，并向证券交易所报告。</w:t>
      </w:r>
    </w:p>
    <w:p>
      <w:pPr>
        <w:spacing w:line="360" w:lineRule="auto"/>
        <w:ind w:firstLine="480" w:firstLineChars="200"/>
        <w:rPr>
          <w:rFonts w:ascii="仿宋" w:hAnsi="仿宋" w:eastAsia="仿宋"/>
          <w:sz w:val="24"/>
          <w:szCs w:val="24"/>
        </w:rPr>
      </w:pPr>
      <w:r>
        <w:rPr>
          <w:rFonts w:ascii="仿宋" w:hAnsi="仿宋" w:eastAsia="仿宋"/>
          <w:sz w:val="24"/>
          <w:szCs w:val="24"/>
        </w:rPr>
        <w:t>第七条 乙方应对甲方报告信息承担保密义务。不得非法买卖、提供、公开或者以其他不正当手段使用甲方报告的信息，不得泄露所知悉的商业秘密。</w:t>
      </w:r>
    </w:p>
    <w:p>
      <w:pPr>
        <w:spacing w:line="360" w:lineRule="auto"/>
        <w:ind w:firstLine="480" w:firstLineChars="200"/>
        <w:rPr>
          <w:rFonts w:ascii="仿宋" w:hAnsi="仿宋" w:eastAsia="仿宋"/>
          <w:color w:val="auto"/>
          <w:sz w:val="24"/>
          <w:szCs w:val="24"/>
        </w:rPr>
      </w:pPr>
      <w:r>
        <w:rPr>
          <w:rFonts w:ascii="仿宋" w:hAnsi="仿宋" w:eastAsia="仿宋"/>
          <w:color w:val="auto"/>
          <w:sz w:val="24"/>
          <w:szCs w:val="24"/>
        </w:rPr>
        <w:t>第八条 甲方应当遵守法律法规、证券交易所业务规则和本协议的规定，依法合规进行程序化交易，不得影响乙方及证券交易所系统安全或正常交易秩序，不得利用程序化交易从事内幕交易、利用未公开信息交易、操纵证券市场等违法违规行为。</w:t>
      </w:r>
    </w:p>
    <w:p>
      <w:pPr>
        <w:spacing w:line="360" w:lineRule="auto"/>
        <w:ind w:firstLine="480" w:firstLineChars="200"/>
        <w:rPr>
          <w:rFonts w:ascii="仿宋" w:hAnsi="仿宋" w:eastAsia="仿宋"/>
          <w:color w:val="auto"/>
          <w:sz w:val="24"/>
          <w:szCs w:val="24"/>
        </w:rPr>
      </w:pPr>
      <w:r>
        <w:rPr>
          <w:rFonts w:ascii="仿宋" w:hAnsi="仿宋" w:eastAsia="仿宋"/>
          <w:color w:val="auto"/>
          <w:sz w:val="24"/>
          <w:szCs w:val="24"/>
        </w:rPr>
        <w:t>第九条 甲乙双方同意密切配合，共同确保程序化交易相关技术系统符合证券交易所的规定，保障交易安全持续稳定运行。乙方用于程序化交易的技术系统，应当符合可用性、安全性和合规性的监管要求，系统的性能、容量应当与业务、 市场需求相适应，具备验资验券、权限控制、阈值管理、异常监测、错误处理、应急处置等功能，具备合理有效的应急处置功能，对于技术故障或者其他异常情况具备快速撤销申报、暂停申报、系统隔离等人工干预功能。乙方应就技术系统建立符合监管要求的日常运行维护管理制度和操作流程，保障系统安全持续稳定运行。</w:t>
      </w:r>
    </w:p>
    <w:p>
      <w:pPr>
        <w:spacing w:line="360" w:lineRule="auto"/>
        <w:ind w:firstLine="480" w:firstLineChars="200"/>
        <w:rPr>
          <w:rFonts w:ascii="仿宋" w:hAnsi="仿宋" w:eastAsia="仿宋"/>
          <w:sz w:val="24"/>
          <w:szCs w:val="24"/>
        </w:rPr>
      </w:pPr>
      <w:r>
        <w:rPr>
          <w:rFonts w:ascii="仿宋" w:hAnsi="仿宋" w:eastAsia="仿宋"/>
          <w:sz w:val="24"/>
          <w:szCs w:val="24"/>
        </w:rPr>
        <w:t>甲方用于程序化交易的技术系统，应当满足证券交易所和乙方关于交易及相关系统的可用性、安全性与合规性要求，具备验资验券、权限控制、阈值管理、异常监测、错误处理等风控功能，设置有效的应急处置功能，对于技术故障或者其他异常情况具备快速撤销申报、暂停申报、系统隔离 等人工干预功能，应对技术故障和防范可能造成重大交易异常的情况。甲方同意配合乙方开展必要的系统风险评估、验证测试。甲乙双方可就技术系统接入的具体事项另行签署协约定。</w:t>
      </w:r>
    </w:p>
    <w:p>
      <w:pPr>
        <w:spacing w:line="360" w:lineRule="auto"/>
        <w:ind w:firstLine="480" w:firstLineChars="200"/>
        <w:rPr>
          <w:rFonts w:ascii="仿宋" w:hAnsi="仿宋" w:eastAsia="仿宋"/>
          <w:sz w:val="24"/>
          <w:szCs w:val="24"/>
        </w:rPr>
      </w:pPr>
      <w:r>
        <w:rPr>
          <w:rFonts w:ascii="仿宋" w:hAnsi="仿宋" w:eastAsia="仿宋"/>
          <w:sz w:val="24"/>
          <w:szCs w:val="24"/>
        </w:rPr>
        <w:t>甲乙双方技术系统的相关功能应在上线使用前经过充分测试，定期进行验证测试和风险评估，并按证券交易所要求保留</w:t>
      </w:r>
      <w:r>
        <w:rPr>
          <w:rFonts w:hint="eastAsia" w:ascii="仿宋" w:hAnsi="仿宋" w:eastAsia="仿宋"/>
          <w:sz w:val="24"/>
          <w:szCs w:val="24"/>
          <w:lang w:eastAsia="zh-CN"/>
        </w:rPr>
        <w:t>、</w:t>
      </w:r>
      <w:r>
        <w:rPr>
          <w:rFonts w:ascii="仿宋" w:hAnsi="仿宋" w:eastAsia="仿宋"/>
          <w:sz w:val="24"/>
          <w:szCs w:val="24"/>
        </w:rPr>
        <w:t>报告测试记录和评估结果。</w:t>
      </w:r>
    </w:p>
    <w:p>
      <w:pPr>
        <w:spacing w:line="360" w:lineRule="auto"/>
        <w:ind w:firstLine="480" w:firstLineChars="200"/>
        <w:rPr>
          <w:rFonts w:ascii="仿宋" w:hAnsi="仿宋" w:eastAsia="仿宋"/>
          <w:sz w:val="24"/>
          <w:szCs w:val="24"/>
        </w:rPr>
      </w:pPr>
      <w:r>
        <w:rPr>
          <w:rFonts w:ascii="仿宋" w:hAnsi="仿宋" w:eastAsia="仿宋"/>
          <w:sz w:val="24"/>
          <w:szCs w:val="24"/>
        </w:rPr>
        <w:t>第十条 乙方有权对甲方程序化交易行为进行管理，识别、管理和报告甲方涉嫌异常交易的行为，督促甲方依法合规进行程序化交易。乙方有权配合证券交易所对甲方账户或交易行为采取相关措施。</w:t>
      </w:r>
    </w:p>
    <w:p>
      <w:pPr>
        <w:spacing w:line="360" w:lineRule="auto"/>
        <w:ind w:firstLine="480" w:firstLineChars="200"/>
        <w:rPr>
          <w:rFonts w:ascii="仿宋" w:hAnsi="仿宋" w:eastAsia="仿宋"/>
          <w:sz w:val="24"/>
          <w:szCs w:val="24"/>
        </w:rPr>
      </w:pPr>
      <w:r>
        <w:rPr>
          <w:rFonts w:ascii="仿宋" w:hAnsi="仿宋" w:eastAsia="仿宋"/>
          <w:sz w:val="24"/>
          <w:szCs w:val="24"/>
        </w:rPr>
        <w:t>第十一条 甲方存在下列行为的，乙方有权采取拒绝甲方程序化交易委托、撤销相关申报等措施，并向监管机构和证券交易所报告：</w:t>
      </w:r>
    </w:p>
    <w:p>
      <w:pPr>
        <w:spacing w:line="360" w:lineRule="auto"/>
        <w:ind w:firstLine="480" w:firstLineChars="200"/>
        <w:rPr>
          <w:rFonts w:ascii="仿宋" w:hAnsi="仿宋" w:eastAsia="仿宋"/>
          <w:sz w:val="24"/>
          <w:szCs w:val="24"/>
        </w:rPr>
      </w:pPr>
      <w:r>
        <w:rPr>
          <w:rFonts w:ascii="仿宋" w:hAnsi="仿宋" w:eastAsia="仿宋"/>
          <w:sz w:val="24"/>
          <w:szCs w:val="24"/>
        </w:rPr>
        <w:t>(一) 甲方拒不履行或者未真实、准确、完整、及时履行报告及变更报告义务；</w:t>
      </w:r>
    </w:p>
    <w:p>
      <w:pPr>
        <w:spacing w:line="360" w:lineRule="auto"/>
        <w:ind w:firstLine="480" w:firstLineChars="200"/>
        <w:rPr>
          <w:rFonts w:ascii="仿宋" w:hAnsi="仿宋" w:eastAsia="仿宋"/>
          <w:sz w:val="24"/>
          <w:szCs w:val="24"/>
        </w:rPr>
      </w:pPr>
      <w:r>
        <w:rPr>
          <w:rFonts w:ascii="仿宋" w:hAnsi="仿宋" w:eastAsia="仿宋"/>
          <w:sz w:val="24"/>
          <w:szCs w:val="24"/>
        </w:rPr>
        <w:t>(二) 甲方拒绝配合乙方就程序化交易开展尽职调查，或者拒绝接受乙方根据证券交易所要求的核查和检查；</w:t>
      </w:r>
    </w:p>
    <w:p>
      <w:pPr>
        <w:spacing w:line="360" w:lineRule="auto"/>
        <w:ind w:firstLine="480" w:firstLineChars="200"/>
        <w:rPr>
          <w:rFonts w:ascii="仿宋" w:hAnsi="仿宋" w:eastAsia="仿宋"/>
          <w:sz w:val="24"/>
          <w:szCs w:val="24"/>
        </w:rPr>
      </w:pPr>
      <w:r>
        <w:rPr>
          <w:rFonts w:ascii="仿宋" w:hAnsi="仿宋" w:eastAsia="仿宋"/>
          <w:sz w:val="24"/>
          <w:szCs w:val="24"/>
        </w:rPr>
        <w:t>(三) 甲方用于程序化交易的技术系统发生重大技术故障或者程序化交易委托出现重大异常；</w:t>
      </w:r>
    </w:p>
    <w:p>
      <w:pPr>
        <w:spacing w:line="360" w:lineRule="auto"/>
        <w:ind w:firstLine="480" w:firstLineChars="200"/>
        <w:rPr>
          <w:rFonts w:ascii="仿宋" w:hAnsi="仿宋" w:eastAsia="仿宋"/>
          <w:sz w:val="24"/>
          <w:szCs w:val="24"/>
        </w:rPr>
      </w:pPr>
      <w:r>
        <w:rPr>
          <w:rFonts w:ascii="仿宋" w:hAnsi="仿宋" w:eastAsia="仿宋"/>
          <w:sz w:val="24"/>
          <w:szCs w:val="24"/>
        </w:rPr>
        <w:t>(四) 甲方程序化交易可能影响交易系统安全或者正常交易秩序；</w:t>
      </w:r>
    </w:p>
    <w:p>
      <w:pPr>
        <w:spacing w:line="360" w:lineRule="auto"/>
        <w:ind w:firstLine="480" w:firstLineChars="200"/>
        <w:rPr>
          <w:rFonts w:ascii="仿宋" w:hAnsi="仿宋" w:eastAsia="仿宋"/>
          <w:sz w:val="24"/>
          <w:szCs w:val="24"/>
        </w:rPr>
      </w:pPr>
      <w:r>
        <w:rPr>
          <w:rFonts w:ascii="仿宋" w:hAnsi="仿宋" w:eastAsia="仿宋"/>
          <w:sz w:val="24"/>
          <w:szCs w:val="24"/>
        </w:rPr>
        <w:t>(五) 甲方实际用于程序化交易的技术系统与乙方验证测试、风险评估的系统不一致；</w:t>
      </w:r>
    </w:p>
    <w:p>
      <w:pPr>
        <w:spacing w:line="360" w:lineRule="auto"/>
        <w:ind w:firstLine="480" w:firstLineChars="200"/>
        <w:rPr>
          <w:rFonts w:ascii="仿宋" w:hAnsi="仿宋" w:eastAsia="仿宋"/>
          <w:sz w:val="24"/>
          <w:szCs w:val="24"/>
        </w:rPr>
      </w:pPr>
      <w:r>
        <w:rPr>
          <w:rFonts w:ascii="仿宋" w:hAnsi="仿宋" w:eastAsia="仿宋"/>
          <w:sz w:val="24"/>
          <w:szCs w:val="24"/>
        </w:rPr>
        <w:t>(</w:t>
      </w:r>
      <w:r>
        <w:rPr>
          <w:rFonts w:hint="eastAsia" w:ascii="仿宋" w:hAnsi="仿宋" w:eastAsia="仿宋"/>
          <w:sz w:val="24"/>
          <w:szCs w:val="24"/>
          <w:lang w:val="en-US" w:eastAsia="zh-CN"/>
        </w:rPr>
        <w:t>六</w:t>
      </w:r>
      <w:r>
        <w:rPr>
          <w:rFonts w:ascii="仿宋" w:hAnsi="仿宋" w:eastAsia="仿宋"/>
          <w:sz w:val="24"/>
          <w:szCs w:val="24"/>
        </w:rPr>
        <w:t>) 甲方拒不配合证券交易所相关工作要求的；</w:t>
      </w:r>
    </w:p>
    <w:p>
      <w:pPr>
        <w:spacing w:line="360" w:lineRule="auto"/>
        <w:ind w:firstLine="480" w:firstLineChars="200"/>
        <w:rPr>
          <w:rFonts w:ascii="仿宋" w:hAnsi="仿宋" w:eastAsia="仿宋"/>
          <w:sz w:val="24"/>
          <w:szCs w:val="24"/>
        </w:rPr>
      </w:pPr>
      <w:r>
        <w:rPr>
          <w:rFonts w:ascii="仿宋" w:hAnsi="仿宋" w:eastAsia="仿宋"/>
          <w:sz w:val="24"/>
          <w:szCs w:val="24"/>
        </w:rPr>
        <w:t>(七) 双方约定的其他事项。</w:t>
      </w:r>
    </w:p>
    <w:p>
      <w:pPr>
        <w:spacing w:line="360" w:lineRule="auto"/>
        <w:ind w:firstLine="480" w:firstLineChars="200"/>
        <w:rPr>
          <w:rFonts w:ascii="仿宋" w:hAnsi="仿宋" w:eastAsia="仿宋"/>
          <w:sz w:val="24"/>
          <w:szCs w:val="24"/>
        </w:rPr>
      </w:pPr>
      <w:r>
        <w:rPr>
          <w:rFonts w:ascii="仿宋" w:hAnsi="仿宋" w:eastAsia="仿宋"/>
          <w:sz w:val="24"/>
          <w:szCs w:val="24"/>
        </w:rPr>
        <w:t>第十二条 甲方进行程序化交易，因不可抗力、意外事件、重大技术故障、重大人为差错等突发性事件引发证券交易出现重大异常波动或可能影响证券交易正常进行的，应当立即采取暂停交易、撤销委托等处置措施，并及时向乙方报告。乙方发现甲方程序化交易因前款规定的突发性事件可能影响证券交易正常进行的，有权立即采取暂停接受甲方委托、撤销相关申报等处置措施，并向监管机构和证券交易所报告。</w:t>
      </w:r>
    </w:p>
    <w:p>
      <w:pPr>
        <w:spacing w:line="360" w:lineRule="auto"/>
        <w:ind w:firstLine="480" w:firstLineChars="200"/>
        <w:rPr>
          <w:rFonts w:ascii="仿宋" w:hAnsi="仿宋" w:eastAsia="仿宋"/>
          <w:sz w:val="24"/>
          <w:szCs w:val="24"/>
        </w:rPr>
      </w:pPr>
      <w:r>
        <w:rPr>
          <w:rFonts w:ascii="仿宋" w:hAnsi="仿宋" w:eastAsia="仿宋"/>
          <w:sz w:val="24"/>
          <w:szCs w:val="24"/>
        </w:rPr>
        <w:t>第十三条 甲方交易行为符合证券交易所有关高频交易认定标准的，属于高频交易。由此产生的差异化费用成本，由甲方承担。具体收费标准，按照证券交易所规定执行。</w:t>
      </w:r>
    </w:p>
    <w:p>
      <w:pPr>
        <w:spacing w:line="360" w:lineRule="auto"/>
        <w:ind w:firstLine="480" w:firstLineChars="200"/>
        <w:rPr>
          <w:rFonts w:ascii="仿宋" w:hAnsi="仿宋" w:eastAsia="仿宋"/>
          <w:sz w:val="24"/>
          <w:szCs w:val="24"/>
        </w:rPr>
      </w:pPr>
      <w:r>
        <w:rPr>
          <w:rFonts w:ascii="仿宋" w:hAnsi="仿宋" w:eastAsia="仿宋"/>
          <w:sz w:val="24"/>
          <w:szCs w:val="24"/>
        </w:rPr>
        <w:t>第十四条 甲方存在证券交易所规定或本协议约定的高频交易情形的，除本协议第三条规定相关信息外，还应当报告：</w:t>
      </w:r>
    </w:p>
    <w:p>
      <w:pPr>
        <w:spacing w:line="360" w:lineRule="auto"/>
        <w:ind w:firstLine="480" w:firstLineChars="200"/>
        <w:rPr>
          <w:rFonts w:ascii="仿宋" w:hAnsi="仿宋" w:eastAsia="仿宋"/>
          <w:sz w:val="24"/>
          <w:szCs w:val="24"/>
        </w:rPr>
      </w:pPr>
      <w:r>
        <w:rPr>
          <w:rFonts w:ascii="仿宋" w:hAnsi="仿宋" w:eastAsia="仿宋"/>
          <w:sz w:val="24"/>
          <w:szCs w:val="24"/>
        </w:rPr>
        <w:t>( 一 ) 高频交易系统服务器所在地；</w:t>
      </w:r>
    </w:p>
    <w:p>
      <w:pPr>
        <w:spacing w:line="360" w:lineRule="auto"/>
        <w:ind w:firstLine="480" w:firstLineChars="200"/>
        <w:rPr>
          <w:rFonts w:ascii="仿宋" w:hAnsi="仿宋" w:eastAsia="仿宋"/>
          <w:sz w:val="24"/>
          <w:szCs w:val="24"/>
        </w:rPr>
      </w:pPr>
      <w:r>
        <w:rPr>
          <w:rFonts w:ascii="仿宋" w:hAnsi="仿宋" w:eastAsia="仿宋"/>
          <w:sz w:val="24"/>
          <w:szCs w:val="24"/>
        </w:rPr>
        <w:t>( 二 ) 高频交易系统测试报告；</w:t>
      </w:r>
    </w:p>
    <w:p>
      <w:pPr>
        <w:spacing w:line="360" w:lineRule="auto"/>
        <w:ind w:firstLine="480" w:firstLineChars="200"/>
        <w:rPr>
          <w:rFonts w:ascii="仿宋" w:hAnsi="仿宋" w:eastAsia="仿宋"/>
          <w:sz w:val="24"/>
          <w:szCs w:val="24"/>
        </w:rPr>
      </w:pPr>
      <w:r>
        <w:rPr>
          <w:rFonts w:ascii="仿宋" w:hAnsi="仿宋" w:eastAsia="仿宋"/>
          <w:sz w:val="24"/>
          <w:szCs w:val="24"/>
        </w:rPr>
        <w:t>( 三 ) 高频交易系统发生故障时的应急方案；</w:t>
      </w:r>
    </w:p>
    <w:p>
      <w:pPr>
        <w:spacing w:line="360" w:lineRule="auto"/>
        <w:ind w:firstLine="480" w:firstLineChars="200"/>
        <w:rPr>
          <w:rFonts w:ascii="仿宋" w:hAnsi="仿宋" w:eastAsia="仿宋"/>
          <w:sz w:val="24"/>
          <w:szCs w:val="24"/>
        </w:rPr>
      </w:pPr>
      <w:r>
        <w:rPr>
          <w:rFonts w:ascii="仿宋" w:hAnsi="仿宋" w:eastAsia="仿宋"/>
          <w:sz w:val="24"/>
          <w:szCs w:val="24"/>
        </w:rPr>
        <w:t>( 四 ) 证券交易所规定的其他信息。</w:t>
      </w:r>
    </w:p>
    <w:p>
      <w:pPr>
        <w:spacing w:line="360" w:lineRule="auto"/>
        <w:ind w:firstLine="480" w:firstLineChars="200"/>
        <w:rPr>
          <w:rFonts w:ascii="仿宋" w:hAnsi="仿宋" w:eastAsia="仿宋"/>
          <w:sz w:val="24"/>
          <w:szCs w:val="24"/>
        </w:rPr>
      </w:pPr>
      <w:r>
        <w:rPr>
          <w:rFonts w:ascii="仿宋" w:hAnsi="仿宋" w:eastAsia="仿宋"/>
          <w:sz w:val="24"/>
          <w:szCs w:val="24"/>
        </w:rPr>
        <w:t>甲方为公募基金管理人或其子公司、从事资产管理业务的证券公司、合格境外投资者及证券交易所认定的其他投资者时，以减少大额订单对市场冲击或者保障不同投资组合交易公平性为目的，在交易环节按照设定的拆单算法自动执行 交易指令，且已按照本协议第三条规定履行报告义务的，不适用前款要求。</w:t>
      </w:r>
    </w:p>
    <w:p>
      <w:pPr>
        <w:spacing w:line="360" w:lineRule="auto"/>
        <w:ind w:firstLine="480" w:firstLineChars="200"/>
        <w:rPr>
          <w:rFonts w:ascii="仿宋" w:hAnsi="仿宋" w:eastAsia="仿宋"/>
          <w:sz w:val="24"/>
          <w:szCs w:val="24"/>
        </w:rPr>
      </w:pPr>
      <w:r>
        <w:rPr>
          <w:rFonts w:ascii="仿宋" w:hAnsi="仿宋" w:eastAsia="仿宋"/>
          <w:sz w:val="24"/>
          <w:szCs w:val="24"/>
        </w:rPr>
        <w:t>第十五条 甲方存在高频交易情形的，乙方有权加强监控、从严管理。甲方进行高频交易可能出现证券交易所规定的异常交易行为的，乙方有权立即采取拒绝委托、撤销相关申报、暂停提供服务或终止与甲方的委托代理关系等措施， 并向监管机构和证券交易所报告。</w:t>
      </w:r>
    </w:p>
    <w:p>
      <w:pPr>
        <w:spacing w:line="360" w:lineRule="auto"/>
        <w:ind w:firstLine="480" w:firstLineChars="200"/>
        <w:rPr>
          <w:rFonts w:ascii="仿宋" w:hAnsi="仿宋" w:eastAsia="仿宋"/>
          <w:sz w:val="24"/>
          <w:szCs w:val="24"/>
        </w:rPr>
      </w:pPr>
      <w:r>
        <w:rPr>
          <w:rFonts w:ascii="仿宋" w:hAnsi="仿宋" w:eastAsia="仿宋"/>
          <w:sz w:val="24"/>
          <w:szCs w:val="24"/>
        </w:rPr>
        <w:t>第十六条 甲乙双方因任何一方违反本协议，而给对方所造成实际损失的，应当承担赔偿责任。一方严重违反本协议，导致本协议不能履行的，非违约方有权解除协议并要求 赔偿，协议自书面解约通知到达违约方之日起解除。</w:t>
      </w:r>
    </w:p>
    <w:p>
      <w:pPr>
        <w:spacing w:line="360" w:lineRule="auto"/>
        <w:ind w:firstLine="480" w:firstLineChars="200"/>
        <w:rPr>
          <w:rFonts w:ascii="仿宋" w:hAnsi="仿宋" w:eastAsia="仿宋"/>
          <w:sz w:val="24"/>
          <w:szCs w:val="24"/>
        </w:rPr>
      </w:pPr>
      <w:r>
        <w:rPr>
          <w:rFonts w:ascii="仿宋" w:hAnsi="仿宋" w:eastAsia="仿宋"/>
          <w:sz w:val="24"/>
          <w:szCs w:val="24"/>
        </w:rPr>
        <w:t>第十七条 因出现火灾、地震、瘟疫、社会动乱等不能预见、不能避免并不能克服的不可抗力情形，或因出现无法控制和不可预测的系统故障、设备故障、通讯故障、电力故障等异常事故，或因本协议生效后新颁布、实施或修改的法律、法规、规章、规则或政策等因素，导致协议任何一方不能及时或完全履行本协议的，其相应责任应予免除。</w:t>
      </w:r>
    </w:p>
    <w:p>
      <w:pPr>
        <w:spacing w:line="360" w:lineRule="auto"/>
        <w:ind w:firstLine="480" w:firstLineChars="200"/>
        <w:rPr>
          <w:rFonts w:ascii="仿宋" w:hAnsi="仿宋" w:eastAsia="仿宋"/>
          <w:sz w:val="24"/>
          <w:szCs w:val="24"/>
        </w:rPr>
      </w:pPr>
      <w:r>
        <w:rPr>
          <w:rFonts w:ascii="仿宋" w:hAnsi="仿宋" w:eastAsia="仿宋"/>
          <w:sz w:val="24"/>
          <w:szCs w:val="24"/>
        </w:rPr>
        <w:t>遭受不可抗力、异常事故或知悉政策法律变化的一方或双方应在遭受不可抗力、异常事故或知悉政策法律变化后，甲方通过电话、书面任一方式及时通知乙方， 乙方通过短信、电话、网上营业厅通知、网站公示任一方式及时通知甲方，双方在通知对方后均需保留相关证明，双方应积极协调善后事宜。因未能及时通知对方或者未能采取对应处置措 施导致损失扩大的，相应责任不予免除。</w:t>
      </w:r>
    </w:p>
    <w:p>
      <w:pPr>
        <w:spacing w:line="360" w:lineRule="auto"/>
        <w:ind w:firstLine="480" w:firstLineChars="200"/>
        <w:rPr>
          <w:rFonts w:ascii="仿宋" w:hAnsi="仿宋" w:eastAsia="仿宋"/>
          <w:sz w:val="24"/>
          <w:szCs w:val="24"/>
        </w:rPr>
      </w:pPr>
      <w:r>
        <w:rPr>
          <w:rFonts w:ascii="仿宋" w:hAnsi="仿宋" w:eastAsia="仿宋"/>
          <w:sz w:val="24"/>
          <w:szCs w:val="24"/>
        </w:rPr>
        <w:t>第十八条 本协议经甲乙双方书面协商一致，可解除协议。甲乙双方因丧失业务资格或依法不能从事相关业务，本协议自动解除。甲乙双方签署的《证券交易委托代理协议》终止或依照相关约定或相关法律法规的规定提前解除时，本协议自动终止。</w:t>
      </w:r>
    </w:p>
    <w:p>
      <w:pPr>
        <w:spacing w:line="360" w:lineRule="auto"/>
        <w:ind w:firstLine="480" w:firstLineChars="200"/>
        <w:rPr>
          <w:rFonts w:ascii="仿宋" w:hAnsi="仿宋" w:eastAsia="仿宋"/>
          <w:sz w:val="24"/>
          <w:szCs w:val="24"/>
        </w:rPr>
      </w:pPr>
      <w:r>
        <w:rPr>
          <w:rFonts w:ascii="仿宋" w:hAnsi="仿宋" w:eastAsia="仿宋"/>
          <w:sz w:val="24"/>
          <w:szCs w:val="24"/>
        </w:rPr>
        <w:t>第十九条 乙方根据本协议约定拒绝甲方委托、撤销甲方申报、暂停提供服务、或终止与甲方的委托代理关系的，乙方应及时通知甲方，相关的任何后果、风险和损失由甲方自行承担。</w:t>
      </w:r>
    </w:p>
    <w:p>
      <w:pPr>
        <w:spacing w:line="360" w:lineRule="auto"/>
        <w:ind w:firstLine="480" w:firstLineChars="200"/>
        <w:rPr>
          <w:rFonts w:ascii="仿宋" w:hAnsi="仿宋" w:eastAsia="仿宋"/>
          <w:sz w:val="24"/>
          <w:szCs w:val="24"/>
        </w:rPr>
      </w:pPr>
      <w:r>
        <w:rPr>
          <w:rFonts w:ascii="仿宋" w:hAnsi="仿宋" w:eastAsia="仿宋"/>
          <w:sz w:val="24"/>
          <w:szCs w:val="24"/>
        </w:rPr>
        <w:t>第二十条 监管部门、证券交易所或乙方依据监管部门、证券交易所要求，针对甲方程序化交易开展现场检查或非现场检查的，甲方应予以配合，真实、完整、准确、及时地提供相关资料。</w:t>
      </w:r>
    </w:p>
    <w:p>
      <w:pPr>
        <w:spacing w:line="360" w:lineRule="auto"/>
        <w:ind w:firstLine="480" w:firstLineChars="200"/>
        <w:rPr>
          <w:rFonts w:ascii="仿宋" w:hAnsi="仿宋" w:eastAsia="仿宋"/>
          <w:sz w:val="24"/>
          <w:szCs w:val="24"/>
        </w:rPr>
      </w:pPr>
      <w:r>
        <w:rPr>
          <w:rFonts w:ascii="仿宋" w:hAnsi="仿宋" w:eastAsia="仿宋"/>
          <w:sz w:val="24"/>
          <w:szCs w:val="24"/>
        </w:rPr>
        <w:t>第二十一条 有关本协议的签署、效力和争议解决等均适用中华人民共和国法律、法规及其他有关规章、规则。</w:t>
      </w:r>
    </w:p>
    <w:p>
      <w:pPr>
        <w:spacing w:line="360" w:lineRule="auto"/>
        <w:ind w:firstLine="480" w:firstLineChars="200"/>
        <w:rPr>
          <w:rFonts w:ascii="仿宋" w:hAnsi="仿宋" w:eastAsia="仿宋"/>
          <w:sz w:val="24"/>
          <w:szCs w:val="24"/>
        </w:rPr>
      </w:pPr>
      <w:r>
        <w:rPr>
          <w:rFonts w:ascii="仿宋" w:hAnsi="仿宋" w:eastAsia="仿宋"/>
          <w:sz w:val="24"/>
          <w:szCs w:val="24"/>
        </w:rPr>
        <w:t>第二十二条 本协议签署后，若有关法律、法规、规章、规则修订，本协议与之不相适应的内容及条款自行失效，相关内容及条款按新修订的法律、法规、规章、规则办理。但本协议其他内容和条款继续有效。</w:t>
      </w:r>
    </w:p>
    <w:p>
      <w:pPr>
        <w:spacing w:line="360" w:lineRule="auto"/>
        <w:ind w:firstLine="480" w:firstLineChars="200"/>
        <w:rPr>
          <w:rFonts w:ascii="仿宋" w:hAnsi="仿宋" w:eastAsia="仿宋"/>
          <w:sz w:val="24"/>
          <w:szCs w:val="24"/>
        </w:rPr>
      </w:pPr>
      <w:r>
        <w:rPr>
          <w:rFonts w:ascii="仿宋" w:hAnsi="仿宋" w:eastAsia="仿宋"/>
          <w:sz w:val="24"/>
          <w:szCs w:val="24"/>
        </w:rPr>
        <w:t>第二十三条 本协议可采用电子方式或纸质方式签署。 本协议在以下条件均满足之日起生效：</w:t>
      </w:r>
    </w:p>
    <w:p>
      <w:pPr>
        <w:spacing w:line="360" w:lineRule="auto"/>
        <w:ind w:firstLine="480" w:firstLineChars="200"/>
        <w:rPr>
          <w:rFonts w:ascii="仿宋" w:hAnsi="仿宋" w:eastAsia="仿宋"/>
          <w:sz w:val="24"/>
          <w:szCs w:val="24"/>
        </w:rPr>
      </w:pPr>
      <w:r>
        <w:rPr>
          <w:rFonts w:ascii="仿宋" w:hAnsi="仿宋" w:eastAsia="仿宋"/>
          <w:sz w:val="24"/>
          <w:szCs w:val="24"/>
        </w:rPr>
        <w:t>一、双方已签署了《证券交易委托代理协议》且已生效。</w:t>
      </w:r>
    </w:p>
    <w:p>
      <w:pPr>
        <w:spacing w:line="360" w:lineRule="auto"/>
        <w:ind w:firstLine="480" w:firstLineChars="200"/>
        <w:rPr>
          <w:rFonts w:ascii="仿宋" w:hAnsi="仿宋" w:eastAsia="仿宋"/>
          <w:sz w:val="24"/>
          <w:szCs w:val="24"/>
        </w:rPr>
      </w:pPr>
      <w:r>
        <w:rPr>
          <w:rFonts w:ascii="仿宋" w:hAnsi="仿宋" w:eastAsia="仿宋"/>
          <w:sz w:val="24"/>
          <w:szCs w:val="24"/>
        </w:rPr>
        <w:t>二、双方均已在本协议上签名盖章。其中，采用电子方式签署本协议的，双方电子签名与在纸质合同上手写签名或盖章具有同等法律效力，无须另行签署纸质协议。采用纸质方式签署本协议的，本协议一式两份，甲乙双方各执一份，每份具有同等的法律效力。</w:t>
      </w:r>
    </w:p>
    <w:p>
      <w:pPr>
        <w:spacing w:line="360" w:lineRule="auto"/>
        <w:ind w:firstLine="480" w:firstLineChars="200"/>
        <w:rPr>
          <w:rFonts w:ascii="仿宋" w:hAnsi="仿宋" w:eastAsia="仿宋"/>
          <w:sz w:val="24"/>
          <w:szCs w:val="24"/>
        </w:rPr>
      </w:pPr>
      <w:r>
        <w:rPr>
          <w:rFonts w:ascii="仿宋" w:hAnsi="仿宋" w:eastAsia="仿宋"/>
          <w:sz w:val="24"/>
          <w:szCs w:val="24"/>
        </w:rPr>
        <w:t>第二十四条 本协议在执行中发生争议时，甲乙双方可自行协商解决或向中国证券业协会证券纠纷调解中心申请调解。若协商或调解不成，双方同意向乙方所在地法院提起诉讼。本协议执行中发生的争议，按双方签署的《证券交易委托代理协议》中约定的方式解决。</w:t>
      </w:r>
    </w:p>
    <w:p>
      <w:pPr>
        <w:spacing w:line="360" w:lineRule="auto"/>
        <w:ind w:firstLine="480" w:firstLineChars="200"/>
        <w:rPr>
          <w:rFonts w:ascii="仿宋" w:hAnsi="仿宋" w:eastAsia="仿宋"/>
          <w:sz w:val="24"/>
          <w:szCs w:val="24"/>
        </w:rPr>
      </w:pPr>
      <w:r>
        <w:rPr>
          <w:rFonts w:ascii="仿宋" w:hAnsi="仿宋" w:eastAsia="仿宋"/>
          <w:sz w:val="24"/>
          <w:szCs w:val="24"/>
        </w:rPr>
        <w:t>第二十五条 本协议未做约定的，按照《证券交易委托代理协议》的约定执行。</w:t>
      </w:r>
    </w:p>
    <w:p>
      <w:pPr>
        <w:pStyle w:val="2"/>
        <w:spacing w:line="360" w:lineRule="auto"/>
        <w:rPr>
          <w:rFonts w:ascii="仿宋" w:hAnsi="仿宋" w:eastAsia="仿宋"/>
          <w:sz w:val="24"/>
          <w:szCs w:val="24"/>
        </w:rPr>
      </w:pPr>
    </w:p>
    <w:p>
      <w:pPr>
        <w:pStyle w:val="2"/>
        <w:spacing w:line="360" w:lineRule="auto"/>
        <w:rPr>
          <w:rFonts w:hint="eastAsia" w:ascii="仿宋" w:hAnsi="仿宋" w:eastAsia="仿宋"/>
          <w:sz w:val="24"/>
          <w:szCs w:val="24"/>
        </w:rPr>
      </w:pPr>
    </w:p>
    <w:p>
      <w:pPr>
        <w:widowControl/>
        <w:jc w:val="left"/>
        <w:rPr>
          <w:rFonts w:ascii="仿宋" w:hAnsi="仿宋" w:eastAsia="仿宋" w:cstheme="majorBidi"/>
          <w:b/>
          <w:bCs/>
          <w:sz w:val="32"/>
          <w:szCs w:val="32"/>
        </w:rPr>
      </w:pPr>
      <w:bookmarkStart w:id="194" w:name="_Toc6759"/>
      <w:bookmarkStart w:id="195" w:name="_Toc1024"/>
      <w:bookmarkStart w:id="196" w:name="_Toc31629"/>
      <w:bookmarkStart w:id="197" w:name="_Toc17920"/>
      <w:bookmarkStart w:id="198" w:name="_Toc20204"/>
      <w:bookmarkStart w:id="199" w:name="_Toc8921"/>
      <w:bookmarkStart w:id="200" w:name="_Toc4903"/>
      <w:bookmarkStart w:id="201" w:name="_Toc30110"/>
      <w:bookmarkStart w:id="202" w:name="_Toc31296"/>
      <w:r>
        <w:rPr>
          <w:rFonts w:ascii="仿宋" w:hAnsi="仿宋" w:eastAsia="仿宋"/>
        </w:rPr>
        <w:br w:type="page"/>
      </w:r>
    </w:p>
    <w:p>
      <w:pPr>
        <w:pStyle w:val="19"/>
        <w:rPr>
          <w:rFonts w:ascii="仿宋" w:hAnsi="仿宋" w:eastAsia="仿宋"/>
        </w:rPr>
      </w:pPr>
      <w:bookmarkStart w:id="203" w:name="_Toc25439"/>
      <w:bookmarkStart w:id="204" w:name="_Toc1413"/>
      <w:bookmarkStart w:id="205" w:name="_GoBack"/>
      <w:bookmarkEnd w:id="205"/>
      <w:r>
        <w:rPr>
          <w:rFonts w:hint="eastAsia" w:ascii="仿宋" w:hAnsi="仿宋" w:eastAsia="仿宋"/>
        </w:rPr>
        <w:t>附录：投资者常用信息</w:t>
      </w:r>
      <w:bookmarkEnd w:id="194"/>
      <w:bookmarkEnd w:id="195"/>
      <w:bookmarkEnd w:id="196"/>
      <w:bookmarkEnd w:id="197"/>
      <w:bookmarkEnd w:id="198"/>
      <w:bookmarkEnd w:id="199"/>
      <w:bookmarkEnd w:id="200"/>
      <w:bookmarkEnd w:id="201"/>
      <w:bookmarkEnd w:id="202"/>
      <w:bookmarkEnd w:id="203"/>
      <w:bookmarkEnd w:id="204"/>
    </w:p>
    <w:p>
      <w:pPr>
        <w:tabs>
          <w:tab w:val="left" w:pos="4500"/>
        </w:tabs>
        <w:spacing w:line="336" w:lineRule="auto"/>
        <w:ind w:firstLine="360" w:firstLineChars="200"/>
        <w:rPr>
          <w:rFonts w:ascii="仿宋" w:hAnsi="仿宋" w:eastAsia="仿宋"/>
          <w:sz w:val="18"/>
          <w:szCs w:val="18"/>
        </w:rPr>
      </w:pPr>
      <w:r>
        <w:rPr>
          <w:rFonts w:hint="eastAsia" w:ascii="仿宋" w:hAnsi="仿宋" w:eastAsia="仿宋"/>
          <w:sz w:val="18"/>
          <w:szCs w:val="18"/>
        </w:rPr>
        <w:t>（提示：相关信息可能发生变化，请留意对应部门的变更公告）</w:t>
      </w:r>
    </w:p>
    <w:p>
      <w:pPr>
        <w:adjustRightInd w:val="0"/>
        <w:snapToGrid w:val="0"/>
        <w:spacing w:line="360" w:lineRule="auto"/>
        <w:jc w:val="left"/>
        <w:rPr>
          <w:rFonts w:ascii="仿宋" w:hAnsi="仿宋" w:eastAsia="仿宋"/>
          <w:b/>
          <w:szCs w:val="21"/>
        </w:rPr>
      </w:pPr>
    </w:p>
    <w:p>
      <w:pPr>
        <w:adjustRightInd w:val="0"/>
        <w:snapToGrid w:val="0"/>
        <w:spacing w:line="360" w:lineRule="auto"/>
        <w:jc w:val="left"/>
        <w:rPr>
          <w:rFonts w:ascii="仿宋" w:hAnsi="仿宋" w:eastAsia="仿宋"/>
          <w:b/>
          <w:szCs w:val="21"/>
          <w:shd w:val="pct10" w:color="auto" w:fill="FFFFFF"/>
        </w:rPr>
      </w:pPr>
      <w:r>
        <w:rPr>
          <w:rFonts w:hint="eastAsia" w:ascii="仿宋" w:hAnsi="仿宋" w:eastAsia="仿宋"/>
          <w:b/>
          <w:szCs w:val="21"/>
        </w:rPr>
        <w:t>中银证券客户联络及投诉方式信息</w:t>
      </w:r>
    </w:p>
    <w:p>
      <w:pPr>
        <w:spacing w:line="360" w:lineRule="auto"/>
        <w:ind w:firstLine="420" w:firstLineChars="200"/>
        <w:rPr>
          <w:rFonts w:ascii="仿宋" w:hAnsi="仿宋" w:eastAsia="仿宋"/>
          <w:szCs w:val="21"/>
        </w:rPr>
      </w:pPr>
      <w:r>
        <w:rPr>
          <w:rFonts w:hint="eastAsia" w:ascii="仿宋" w:hAnsi="仿宋" w:eastAsia="仿宋"/>
          <w:szCs w:val="21"/>
        </w:rPr>
        <w:t>公司名称：中银国际证券股份有限公司</w:t>
      </w:r>
    </w:p>
    <w:p>
      <w:pPr>
        <w:spacing w:line="360" w:lineRule="auto"/>
        <w:ind w:firstLine="420" w:firstLineChars="200"/>
        <w:rPr>
          <w:rFonts w:ascii="仿宋" w:hAnsi="仿宋" w:eastAsia="仿宋"/>
          <w:szCs w:val="21"/>
        </w:rPr>
      </w:pPr>
      <w:r>
        <w:rPr>
          <w:rFonts w:hint="eastAsia" w:ascii="仿宋" w:hAnsi="仿宋" w:eastAsia="仿宋"/>
          <w:szCs w:val="21"/>
        </w:rPr>
        <w:t>地址：上海市浦东新区银城中路200号中银大厦39楼  邮政编码：200121</w:t>
      </w:r>
    </w:p>
    <w:p>
      <w:pPr>
        <w:spacing w:line="360" w:lineRule="auto"/>
        <w:ind w:firstLine="420" w:firstLineChars="200"/>
        <w:rPr>
          <w:rFonts w:ascii="仿宋" w:hAnsi="仿宋" w:eastAsia="仿宋"/>
          <w:szCs w:val="21"/>
        </w:rPr>
      </w:pPr>
      <w:r>
        <w:rPr>
          <w:rFonts w:hint="eastAsia" w:ascii="仿宋" w:hAnsi="仿宋" w:eastAsia="仿宋"/>
          <w:szCs w:val="21"/>
        </w:rPr>
        <w:t>本公司网站：http//www.bocichina.com</w:t>
      </w:r>
    </w:p>
    <w:p>
      <w:pPr>
        <w:spacing w:line="360" w:lineRule="auto"/>
        <w:ind w:firstLine="420" w:firstLineChars="200"/>
        <w:rPr>
          <w:rFonts w:ascii="仿宋" w:hAnsi="仿宋" w:eastAsia="仿宋"/>
          <w:szCs w:val="21"/>
        </w:rPr>
      </w:pPr>
      <w:r>
        <w:rPr>
          <w:rFonts w:hint="eastAsia" w:ascii="仿宋" w:hAnsi="仿宋" w:eastAsia="仿宋"/>
          <w:szCs w:val="21"/>
        </w:rPr>
        <w:t>本公司客户服务及信访投诉负责部门：客户服务中心</w:t>
      </w:r>
    </w:p>
    <w:p>
      <w:pPr>
        <w:spacing w:line="360" w:lineRule="auto"/>
        <w:ind w:firstLine="420" w:firstLineChars="200"/>
        <w:rPr>
          <w:rFonts w:ascii="仿宋" w:hAnsi="仿宋" w:eastAsia="仿宋"/>
          <w:szCs w:val="21"/>
        </w:rPr>
      </w:pPr>
      <w:r>
        <w:rPr>
          <w:rFonts w:hint="eastAsia" w:ascii="仿宋" w:hAnsi="仿宋" w:eastAsia="仿宋"/>
          <w:szCs w:val="21"/>
        </w:rPr>
        <w:t xml:space="preserve">客户服务及投诉电话：956026 </w:t>
      </w:r>
      <w:r>
        <w:rPr>
          <w:rFonts w:ascii="仿宋" w:hAnsi="仿宋" w:eastAsia="仿宋"/>
          <w:szCs w:val="21"/>
        </w:rPr>
        <w:t>400-620-8888</w:t>
      </w:r>
      <w:r>
        <w:rPr>
          <w:rFonts w:hint="eastAsia" w:ascii="仿宋" w:hAnsi="仿宋" w:eastAsia="仿宋"/>
          <w:szCs w:val="21"/>
        </w:rPr>
        <w:t>（021-61195566）</w:t>
      </w:r>
    </w:p>
    <w:p>
      <w:pPr>
        <w:spacing w:line="360" w:lineRule="auto"/>
        <w:ind w:firstLine="420" w:firstLineChars="200"/>
        <w:rPr>
          <w:rFonts w:ascii="仿宋" w:hAnsi="仿宋" w:eastAsia="仿宋"/>
          <w:szCs w:val="21"/>
        </w:rPr>
      </w:pPr>
      <w:r>
        <w:rPr>
          <w:rFonts w:hint="eastAsia" w:ascii="仿宋" w:hAnsi="仿宋" w:eastAsia="仿宋"/>
          <w:szCs w:val="21"/>
        </w:rPr>
        <w:t>网上客服及投诉：登陆本公司网站进入“在线客服”栏目。</w:t>
      </w:r>
    </w:p>
    <w:p>
      <w:pPr>
        <w:tabs>
          <w:tab w:val="left" w:pos="4500"/>
        </w:tabs>
        <w:spacing w:line="360" w:lineRule="auto"/>
        <w:ind w:firstLine="420" w:firstLineChars="200"/>
        <w:rPr>
          <w:rFonts w:ascii="仿宋" w:hAnsi="仿宋" w:eastAsia="仿宋"/>
          <w:szCs w:val="21"/>
        </w:rPr>
      </w:pPr>
      <w:r>
        <w:rPr>
          <w:rFonts w:hint="eastAsia" w:ascii="仿宋" w:hAnsi="仿宋" w:eastAsia="仿宋"/>
          <w:szCs w:val="21"/>
        </w:rPr>
        <w:t>客户开户所在分支机构的名称、地址、咨询及投诉电话、沪深交易所B股交易单元及</w:t>
      </w:r>
      <w:r>
        <w:rPr>
          <w:rFonts w:hint="eastAsia" w:ascii="仿宋" w:hAnsi="仿宋" w:eastAsia="仿宋"/>
          <w:kern w:val="0"/>
          <w:szCs w:val="21"/>
        </w:rPr>
        <w:t>B股客户交易结算资金银行专用存款账户信息、</w:t>
      </w:r>
      <w:r>
        <w:rPr>
          <w:rFonts w:hint="eastAsia" w:ascii="仿宋" w:hAnsi="仿宋" w:eastAsia="仿宋"/>
          <w:szCs w:val="21"/>
        </w:rPr>
        <w:t>深交所A股交易单元等信息以分支机构名片、网络等适当形式提供。</w:t>
      </w:r>
    </w:p>
    <w:p>
      <w:pPr>
        <w:tabs>
          <w:tab w:val="left" w:pos="4500"/>
        </w:tabs>
        <w:spacing w:line="336" w:lineRule="auto"/>
        <w:rPr>
          <w:rFonts w:ascii="仿宋" w:hAnsi="仿宋" w:eastAsia="仿宋"/>
          <w:b/>
          <w:szCs w:val="21"/>
        </w:rPr>
      </w:pPr>
      <w:r>
        <w:rPr>
          <w:rFonts w:hint="eastAsia" w:ascii="仿宋" w:hAnsi="仿宋" w:eastAsia="仿宋"/>
          <w:b/>
          <w:szCs w:val="21"/>
        </w:rPr>
        <w:t>主要证券监管机构与自律性组织</w:t>
      </w:r>
    </w:p>
    <w:p>
      <w:pPr>
        <w:tabs>
          <w:tab w:val="left" w:pos="4500"/>
        </w:tabs>
        <w:spacing w:line="336" w:lineRule="auto"/>
        <w:rPr>
          <w:rFonts w:ascii="仿宋" w:hAnsi="仿宋" w:eastAsia="仿宋"/>
          <w:bCs/>
          <w:color w:val="000000"/>
          <w:szCs w:val="21"/>
        </w:rPr>
      </w:pPr>
      <w:r>
        <w:rPr>
          <w:rFonts w:hint="eastAsia" w:ascii="仿宋" w:hAnsi="仿宋" w:eastAsia="仿宋"/>
          <w:b/>
          <w:szCs w:val="21"/>
        </w:rPr>
        <w:t>中国证监会</w:t>
      </w:r>
    </w:p>
    <w:p>
      <w:pPr>
        <w:tabs>
          <w:tab w:val="left" w:pos="4500"/>
        </w:tabs>
        <w:spacing w:line="336" w:lineRule="auto"/>
        <w:ind w:firstLine="420" w:firstLineChars="200"/>
        <w:rPr>
          <w:rFonts w:ascii="仿宋" w:hAnsi="仿宋" w:eastAsia="仿宋"/>
          <w:bCs/>
          <w:color w:val="000000"/>
          <w:szCs w:val="21"/>
        </w:rPr>
      </w:pPr>
      <w:r>
        <w:rPr>
          <w:rFonts w:hint="eastAsia" w:ascii="仿宋" w:hAnsi="仿宋" w:eastAsia="仿宋"/>
          <w:bCs/>
          <w:color w:val="000000"/>
          <w:szCs w:val="21"/>
        </w:rPr>
        <w:t>网址：www.csrc.gov.cn</w:t>
      </w:r>
    </w:p>
    <w:p>
      <w:pPr>
        <w:tabs>
          <w:tab w:val="left" w:pos="4500"/>
        </w:tabs>
        <w:spacing w:line="336" w:lineRule="auto"/>
        <w:ind w:firstLine="420" w:firstLineChars="200"/>
        <w:rPr>
          <w:rFonts w:ascii="仿宋" w:hAnsi="仿宋" w:eastAsia="仿宋"/>
          <w:bCs/>
          <w:color w:val="000000"/>
          <w:szCs w:val="21"/>
        </w:rPr>
      </w:pPr>
      <w:r>
        <w:rPr>
          <w:rFonts w:ascii="仿宋" w:hAnsi="仿宋" w:eastAsia="仿宋"/>
          <w:bCs/>
          <w:color w:val="000000"/>
          <w:szCs w:val="21"/>
        </w:rPr>
        <w:t>地址:中国北京西城区金融大街19号富凯大厦</w:t>
      </w:r>
      <w:r>
        <w:rPr>
          <w:rFonts w:hint="eastAsia" w:ascii="仿宋" w:hAnsi="仿宋" w:eastAsia="仿宋"/>
          <w:bCs/>
          <w:color w:val="000000"/>
          <w:szCs w:val="21"/>
        </w:rPr>
        <w:t xml:space="preserve">    </w:t>
      </w:r>
      <w:r>
        <w:rPr>
          <w:rFonts w:ascii="仿宋" w:hAnsi="仿宋" w:eastAsia="仿宋"/>
          <w:bCs/>
          <w:color w:val="000000"/>
          <w:szCs w:val="21"/>
        </w:rPr>
        <w:t>邮编:100033</w:t>
      </w:r>
    </w:p>
    <w:p>
      <w:pPr>
        <w:tabs>
          <w:tab w:val="left" w:pos="4500"/>
        </w:tabs>
        <w:spacing w:line="336" w:lineRule="auto"/>
        <w:ind w:firstLine="420" w:firstLineChars="200"/>
        <w:rPr>
          <w:rFonts w:ascii="仿宋" w:hAnsi="仿宋" w:eastAsia="仿宋"/>
          <w:bCs/>
          <w:color w:val="000000"/>
          <w:szCs w:val="21"/>
        </w:rPr>
      </w:pPr>
      <w:r>
        <w:rPr>
          <w:rFonts w:hint="eastAsia" w:ascii="仿宋" w:hAnsi="仿宋" w:eastAsia="仿宋"/>
          <w:szCs w:val="21"/>
        </w:rPr>
        <w:t xml:space="preserve">中国证监会热线：12386    </w:t>
      </w:r>
      <w:r>
        <w:rPr>
          <w:rFonts w:ascii="仿宋" w:hAnsi="仿宋" w:eastAsia="仿宋"/>
          <w:bCs/>
          <w:color w:val="000000"/>
          <w:szCs w:val="21"/>
        </w:rPr>
        <w:t>信访投诉电话:010－66210182、66210166</w:t>
      </w:r>
    </w:p>
    <w:p>
      <w:pPr>
        <w:tabs>
          <w:tab w:val="left" w:pos="426"/>
          <w:tab w:val="left" w:pos="4500"/>
        </w:tabs>
        <w:spacing w:line="336" w:lineRule="auto"/>
        <w:rPr>
          <w:rFonts w:ascii="仿宋" w:hAnsi="仿宋" w:eastAsia="仿宋"/>
          <w:szCs w:val="21"/>
        </w:rPr>
      </w:pPr>
      <w:r>
        <w:rPr>
          <w:rFonts w:hint="eastAsia" w:ascii="仿宋" w:hAnsi="仿宋" w:eastAsia="仿宋"/>
          <w:b/>
          <w:szCs w:val="21"/>
        </w:rPr>
        <w:t>中国证监会</w:t>
      </w:r>
      <w:r>
        <w:rPr>
          <w:rFonts w:ascii="仿宋" w:hAnsi="仿宋" w:eastAsia="仿宋"/>
          <w:b/>
          <w:szCs w:val="21"/>
        </w:rPr>
        <w:t>上海</w:t>
      </w:r>
      <w:r>
        <w:rPr>
          <w:rFonts w:hint="eastAsia" w:ascii="仿宋" w:hAnsi="仿宋" w:eastAsia="仿宋"/>
          <w:b/>
          <w:szCs w:val="21"/>
        </w:rPr>
        <w:t>监管</w:t>
      </w:r>
      <w:r>
        <w:rPr>
          <w:rFonts w:ascii="仿宋" w:hAnsi="仿宋" w:eastAsia="仿宋"/>
          <w:b/>
          <w:szCs w:val="21"/>
        </w:rPr>
        <w:t>局</w:t>
      </w:r>
    </w:p>
    <w:p>
      <w:pPr>
        <w:tabs>
          <w:tab w:val="left" w:pos="4500"/>
        </w:tabs>
        <w:spacing w:line="336" w:lineRule="auto"/>
        <w:ind w:firstLine="420" w:firstLineChars="200"/>
        <w:rPr>
          <w:rFonts w:ascii="仿宋" w:hAnsi="仿宋" w:eastAsia="仿宋"/>
          <w:szCs w:val="21"/>
        </w:rPr>
      </w:pPr>
      <w:r>
        <w:rPr>
          <w:rFonts w:ascii="仿宋" w:hAnsi="仿宋" w:eastAsia="仿宋"/>
          <w:bCs/>
          <w:color w:val="000000"/>
          <w:szCs w:val="21"/>
        </w:rPr>
        <w:t>地址：上海市浦东新区迎春路555号</w:t>
      </w:r>
      <w:r>
        <w:rPr>
          <w:rFonts w:hint="eastAsia" w:ascii="仿宋" w:hAnsi="仿宋" w:eastAsia="仿宋"/>
          <w:bCs/>
          <w:color w:val="000000"/>
          <w:szCs w:val="21"/>
        </w:rPr>
        <w:t xml:space="preserve">  </w:t>
      </w:r>
      <w:r>
        <w:rPr>
          <w:rFonts w:ascii="仿宋" w:hAnsi="仿宋" w:eastAsia="仿宋"/>
          <w:bCs/>
          <w:color w:val="000000"/>
          <w:szCs w:val="21"/>
        </w:rPr>
        <w:t>邮编：200135</w:t>
      </w:r>
    </w:p>
    <w:p>
      <w:pPr>
        <w:tabs>
          <w:tab w:val="left" w:pos="4500"/>
        </w:tabs>
        <w:spacing w:line="336" w:lineRule="auto"/>
        <w:ind w:firstLine="420" w:firstLineChars="200"/>
        <w:rPr>
          <w:rFonts w:ascii="仿宋" w:hAnsi="仿宋" w:eastAsia="仿宋"/>
          <w:szCs w:val="21"/>
        </w:rPr>
      </w:pPr>
      <w:r>
        <w:rPr>
          <w:rFonts w:ascii="仿宋" w:hAnsi="仿宋" w:eastAsia="仿宋"/>
          <w:bCs/>
          <w:color w:val="000000"/>
          <w:szCs w:val="21"/>
        </w:rPr>
        <w:t>电话：021-50121047</w:t>
      </w:r>
    </w:p>
    <w:p>
      <w:pPr>
        <w:spacing w:line="360" w:lineRule="auto"/>
        <w:rPr>
          <w:rFonts w:ascii="仿宋" w:hAnsi="仿宋" w:eastAsia="仿宋"/>
          <w:b/>
          <w:szCs w:val="21"/>
        </w:rPr>
      </w:pPr>
      <w:r>
        <w:rPr>
          <w:rFonts w:hint="eastAsia" w:ascii="仿宋" w:hAnsi="仿宋" w:eastAsia="仿宋"/>
          <w:b/>
          <w:szCs w:val="21"/>
        </w:rPr>
        <w:t>上海证券交易所</w:t>
      </w:r>
    </w:p>
    <w:p>
      <w:pPr>
        <w:spacing w:line="360" w:lineRule="auto"/>
        <w:ind w:firstLine="420" w:firstLineChars="200"/>
        <w:rPr>
          <w:rFonts w:ascii="仿宋" w:hAnsi="仿宋" w:eastAsia="仿宋"/>
          <w:szCs w:val="21"/>
        </w:rPr>
      </w:pPr>
      <w:r>
        <w:rPr>
          <w:rFonts w:hint="eastAsia" w:ascii="仿宋" w:hAnsi="仿宋" w:eastAsia="仿宋"/>
          <w:szCs w:val="21"/>
        </w:rPr>
        <w:t>网址：</w:t>
      </w:r>
      <w:r>
        <w:rPr>
          <w:rFonts w:ascii="仿宋" w:hAnsi="仿宋" w:eastAsia="仿宋"/>
          <w:szCs w:val="21"/>
        </w:rPr>
        <w:t>www.sse.com.cn</w:t>
      </w:r>
    </w:p>
    <w:p>
      <w:pPr>
        <w:spacing w:line="360" w:lineRule="auto"/>
        <w:ind w:firstLine="420" w:firstLineChars="200"/>
        <w:rPr>
          <w:rFonts w:ascii="仿宋" w:hAnsi="仿宋" w:eastAsia="仿宋"/>
          <w:szCs w:val="21"/>
        </w:rPr>
      </w:pPr>
      <w:r>
        <w:rPr>
          <w:rFonts w:hint="eastAsia" w:ascii="仿宋" w:hAnsi="仿宋" w:eastAsia="仿宋"/>
          <w:szCs w:val="21"/>
        </w:rPr>
        <w:t>地址：上海市浦东南路528号上海证券交易所  邮编：200120</w:t>
      </w:r>
    </w:p>
    <w:p>
      <w:pPr>
        <w:spacing w:line="360" w:lineRule="auto"/>
        <w:ind w:firstLine="420" w:firstLineChars="200"/>
        <w:rPr>
          <w:rFonts w:ascii="仿宋" w:hAnsi="仿宋" w:eastAsia="仿宋"/>
          <w:szCs w:val="21"/>
        </w:rPr>
      </w:pPr>
      <w:r>
        <w:rPr>
          <w:rFonts w:ascii="仿宋" w:hAnsi="仿宋" w:eastAsia="仿宋"/>
          <w:szCs w:val="21"/>
        </w:rPr>
        <w:t xml:space="preserve">服务热线：4008888400 </w:t>
      </w:r>
      <w:r>
        <w:rPr>
          <w:rFonts w:hint="eastAsia" w:ascii="仿宋" w:hAnsi="仿宋" w:eastAsia="仿宋"/>
          <w:szCs w:val="21"/>
        </w:rPr>
        <w:t xml:space="preserve">  电话：021- 68808888 </w:t>
      </w:r>
    </w:p>
    <w:p>
      <w:pPr>
        <w:spacing w:line="360" w:lineRule="auto"/>
        <w:rPr>
          <w:rFonts w:ascii="仿宋" w:hAnsi="仿宋" w:eastAsia="仿宋"/>
          <w:b/>
          <w:szCs w:val="21"/>
        </w:rPr>
      </w:pPr>
      <w:r>
        <w:rPr>
          <w:rFonts w:hint="eastAsia" w:ascii="仿宋" w:hAnsi="仿宋" w:eastAsia="仿宋"/>
          <w:b/>
          <w:szCs w:val="21"/>
        </w:rPr>
        <w:t>深圳证券交易所</w:t>
      </w:r>
    </w:p>
    <w:p>
      <w:pPr>
        <w:spacing w:line="360" w:lineRule="auto"/>
        <w:ind w:firstLine="420" w:firstLineChars="200"/>
        <w:rPr>
          <w:rFonts w:ascii="仿宋" w:hAnsi="仿宋" w:eastAsia="仿宋"/>
          <w:szCs w:val="21"/>
        </w:rPr>
      </w:pPr>
      <w:r>
        <w:rPr>
          <w:rFonts w:hint="eastAsia" w:ascii="仿宋" w:hAnsi="仿宋" w:eastAsia="仿宋"/>
          <w:szCs w:val="21"/>
        </w:rPr>
        <w:t>网址：</w:t>
      </w:r>
      <w:r>
        <w:rPr>
          <w:rFonts w:ascii="仿宋" w:hAnsi="仿宋" w:eastAsia="仿宋"/>
          <w:szCs w:val="21"/>
        </w:rPr>
        <w:t>www.szse.cn</w:t>
      </w:r>
    </w:p>
    <w:p>
      <w:pPr>
        <w:spacing w:line="360" w:lineRule="auto"/>
        <w:ind w:firstLine="420" w:firstLineChars="200"/>
        <w:rPr>
          <w:rFonts w:ascii="仿宋" w:hAnsi="仿宋" w:eastAsia="仿宋"/>
          <w:szCs w:val="21"/>
        </w:rPr>
      </w:pPr>
      <w:r>
        <w:rPr>
          <w:rFonts w:hint="eastAsia" w:ascii="仿宋" w:hAnsi="仿宋" w:eastAsia="仿宋"/>
          <w:szCs w:val="21"/>
        </w:rPr>
        <w:t>地址：深圳市福田区深南大道2012号   邮编：518038</w:t>
      </w:r>
    </w:p>
    <w:p>
      <w:pPr>
        <w:spacing w:line="360" w:lineRule="auto"/>
        <w:ind w:firstLine="420" w:firstLineChars="200"/>
        <w:rPr>
          <w:rFonts w:ascii="仿宋" w:hAnsi="仿宋" w:eastAsia="仿宋"/>
          <w:szCs w:val="21"/>
        </w:rPr>
      </w:pPr>
      <w:r>
        <w:rPr>
          <w:rFonts w:hint="eastAsia" w:ascii="仿宋" w:hAnsi="仿宋" w:eastAsia="仿宋"/>
          <w:szCs w:val="21"/>
        </w:rPr>
        <w:t>投资者服务热线：</w:t>
      </w:r>
      <w:r>
        <w:rPr>
          <w:rFonts w:hint="eastAsia" w:ascii="仿宋" w:hAnsi="仿宋" w:eastAsia="仿宋"/>
          <w:color w:val="000000"/>
          <w:szCs w:val="21"/>
        </w:rPr>
        <w:t>400-808-9999</w:t>
      </w:r>
    </w:p>
    <w:p>
      <w:pPr>
        <w:spacing w:line="360" w:lineRule="auto"/>
        <w:ind w:firstLine="420" w:firstLineChars="200"/>
        <w:rPr>
          <w:rFonts w:ascii="仿宋" w:hAnsi="仿宋" w:eastAsia="仿宋"/>
          <w:color w:val="000000"/>
          <w:szCs w:val="21"/>
        </w:rPr>
      </w:pPr>
      <w:r>
        <w:rPr>
          <w:rFonts w:hint="eastAsia" w:ascii="仿宋" w:hAnsi="仿宋" w:eastAsia="仿宋"/>
          <w:szCs w:val="21"/>
        </w:rPr>
        <w:t>电子邮箱：</w:t>
      </w:r>
      <w:r>
        <w:fldChar w:fldCharType="begin"/>
      </w:r>
      <w:r>
        <w:instrText xml:space="preserve"> HYPERLINK "mailto:cis@sse.org.cn" </w:instrText>
      </w:r>
      <w:r>
        <w:fldChar w:fldCharType="separate"/>
      </w:r>
      <w:r>
        <w:rPr>
          <w:rStyle w:val="23"/>
          <w:rFonts w:hint="eastAsia" w:ascii="仿宋" w:hAnsi="仿宋" w:eastAsia="仿宋"/>
          <w:szCs w:val="21"/>
        </w:rPr>
        <w:t>cis@sse.org.cn</w:t>
      </w:r>
      <w:r>
        <w:rPr>
          <w:rStyle w:val="23"/>
          <w:rFonts w:hint="eastAsia" w:ascii="仿宋" w:hAnsi="仿宋" w:eastAsia="仿宋"/>
          <w:szCs w:val="21"/>
        </w:rPr>
        <w:fldChar w:fldCharType="end"/>
      </w:r>
      <w:r>
        <w:rPr>
          <w:rFonts w:hint="eastAsia" w:ascii="仿宋" w:hAnsi="仿宋" w:eastAsia="仿宋"/>
          <w:szCs w:val="21"/>
        </w:rPr>
        <w:t xml:space="preserve">  电话：0755-88668888</w:t>
      </w:r>
      <w:r>
        <w:rPr>
          <w:rFonts w:hint="eastAsia" w:ascii="仿宋" w:hAnsi="仿宋" w:eastAsia="仿宋"/>
          <w:color w:val="000000"/>
          <w:szCs w:val="21"/>
        </w:rPr>
        <w:t xml:space="preserve"> </w:t>
      </w:r>
    </w:p>
    <w:p>
      <w:pPr>
        <w:spacing w:line="360" w:lineRule="auto"/>
        <w:rPr>
          <w:rFonts w:ascii="仿宋" w:hAnsi="仿宋" w:eastAsia="仿宋"/>
          <w:b/>
          <w:szCs w:val="21"/>
        </w:rPr>
      </w:pPr>
      <w:r>
        <w:rPr>
          <w:rFonts w:hint="eastAsia" w:ascii="仿宋" w:hAnsi="仿宋" w:eastAsia="仿宋"/>
          <w:b/>
          <w:szCs w:val="21"/>
        </w:rPr>
        <w:t>全国中小企业股份转让系统有限责任公司</w:t>
      </w:r>
    </w:p>
    <w:p>
      <w:pPr>
        <w:spacing w:line="360" w:lineRule="auto"/>
        <w:ind w:firstLine="420" w:firstLineChars="200"/>
        <w:rPr>
          <w:rFonts w:ascii="仿宋" w:hAnsi="仿宋" w:eastAsia="仿宋"/>
          <w:szCs w:val="21"/>
        </w:rPr>
      </w:pPr>
      <w:r>
        <w:rPr>
          <w:rFonts w:hint="eastAsia" w:ascii="仿宋" w:hAnsi="仿宋" w:eastAsia="仿宋"/>
          <w:szCs w:val="21"/>
        </w:rPr>
        <w:t>网址：</w:t>
      </w:r>
      <w:r>
        <w:rPr>
          <w:rFonts w:ascii="仿宋" w:hAnsi="仿宋" w:eastAsia="仿宋"/>
          <w:szCs w:val="21"/>
        </w:rPr>
        <w:t>www.neeq.com.cn</w:t>
      </w:r>
    </w:p>
    <w:p>
      <w:pPr>
        <w:spacing w:line="360" w:lineRule="auto"/>
        <w:ind w:firstLine="420" w:firstLineChars="200"/>
        <w:rPr>
          <w:rFonts w:ascii="仿宋" w:hAnsi="仿宋" w:eastAsia="仿宋"/>
          <w:szCs w:val="21"/>
        </w:rPr>
      </w:pPr>
      <w:r>
        <w:rPr>
          <w:rFonts w:hint="eastAsia" w:ascii="仿宋" w:hAnsi="仿宋" w:eastAsia="仿宋"/>
          <w:szCs w:val="21"/>
        </w:rPr>
        <w:t>地址：北京市西城区金融大街丁26号金阳大厦全国股份转让系统   邮编：100033</w:t>
      </w:r>
    </w:p>
    <w:p>
      <w:pPr>
        <w:spacing w:line="360" w:lineRule="auto"/>
        <w:ind w:firstLine="420" w:firstLineChars="200"/>
        <w:rPr>
          <w:rFonts w:ascii="仿宋" w:hAnsi="仿宋" w:eastAsia="仿宋"/>
          <w:szCs w:val="21"/>
        </w:rPr>
      </w:pPr>
      <w:r>
        <w:rPr>
          <w:rFonts w:hint="eastAsia" w:ascii="仿宋" w:hAnsi="仿宋" w:eastAsia="仿宋"/>
          <w:szCs w:val="21"/>
        </w:rPr>
        <w:t xml:space="preserve">业务咨询邮箱： </w:t>
      </w:r>
      <w:r>
        <w:fldChar w:fldCharType="begin"/>
      </w:r>
      <w:r>
        <w:instrText xml:space="preserve"> HYPERLINK "mailto:info@neeq.org.cn" </w:instrText>
      </w:r>
      <w:r>
        <w:fldChar w:fldCharType="separate"/>
      </w:r>
      <w:r>
        <w:rPr>
          <w:rFonts w:hint="eastAsia" w:ascii="仿宋" w:hAnsi="仿宋" w:eastAsia="仿宋"/>
          <w:szCs w:val="21"/>
        </w:rPr>
        <w:t>info@neeq.org.cn</w:t>
      </w:r>
      <w:r>
        <w:rPr>
          <w:rFonts w:hint="eastAsia" w:ascii="仿宋" w:hAnsi="仿宋" w:eastAsia="仿宋"/>
          <w:szCs w:val="21"/>
        </w:rPr>
        <w:fldChar w:fldCharType="end"/>
      </w:r>
      <w:r>
        <w:rPr>
          <w:rFonts w:hint="eastAsia" w:ascii="仿宋" w:hAnsi="仿宋" w:eastAsia="仿宋"/>
          <w:szCs w:val="21"/>
        </w:rPr>
        <w:t xml:space="preserve">   监督服务电话：010-63889775 </w:t>
      </w:r>
    </w:p>
    <w:p>
      <w:pPr>
        <w:spacing w:line="360" w:lineRule="auto"/>
        <w:ind w:firstLine="420" w:firstLineChars="200"/>
        <w:rPr>
          <w:rFonts w:ascii="仿宋" w:hAnsi="仿宋" w:eastAsia="仿宋"/>
          <w:szCs w:val="21"/>
        </w:rPr>
      </w:pPr>
      <w:r>
        <w:rPr>
          <w:rFonts w:hint="eastAsia" w:ascii="仿宋" w:hAnsi="仿宋" w:eastAsia="仿宋"/>
          <w:szCs w:val="21"/>
        </w:rPr>
        <w:t xml:space="preserve">信访服务电话：010-63889513 </w:t>
      </w:r>
    </w:p>
    <w:p>
      <w:pPr>
        <w:tabs>
          <w:tab w:val="left" w:pos="4500"/>
        </w:tabs>
        <w:spacing w:line="336" w:lineRule="auto"/>
        <w:rPr>
          <w:rFonts w:ascii="仿宋" w:hAnsi="仿宋" w:eastAsia="仿宋" w:cs="仿宋"/>
          <w:b/>
          <w:bCs/>
        </w:rPr>
      </w:pPr>
      <w:r>
        <w:rPr>
          <w:rFonts w:hint="eastAsia" w:ascii="仿宋" w:hAnsi="仿宋" w:eastAsia="仿宋" w:cs="仿宋"/>
          <w:b/>
          <w:bCs/>
        </w:rPr>
        <w:t>北京证券交易所</w:t>
      </w:r>
    </w:p>
    <w:p>
      <w:pPr>
        <w:widowControl/>
        <w:shd w:val="clear" w:color="auto" w:fill="FFFFFF"/>
        <w:spacing w:line="376" w:lineRule="atLeast"/>
        <w:ind w:firstLine="480"/>
        <w:jc w:val="left"/>
        <w:rPr>
          <w:rFonts w:ascii="仿宋" w:hAnsi="仿宋" w:eastAsia="仿宋" w:cs="Arial"/>
          <w:color w:val="333333"/>
          <w:kern w:val="0"/>
          <w:szCs w:val="21"/>
        </w:rPr>
      </w:pPr>
      <w:r>
        <w:rPr>
          <w:rFonts w:hint="eastAsia" w:ascii="仿宋" w:hAnsi="仿宋" w:eastAsia="仿宋" w:cs="Arial"/>
          <w:color w:val="333333"/>
          <w:kern w:val="0"/>
          <w:szCs w:val="21"/>
        </w:rPr>
        <w:t>网址：</w:t>
      </w:r>
      <w:r>
        <w:fldChar w:fldCharType="begin"/>
      </w:r>
      <w:r>
        <w:instrText xml:space="preserve"> HYPERLINK "http://www.bse.cn/" </w:instrText>
      </w:r>
      <w:r>
        <w:fldChar w:fldCharType="separate"/>
      </w:r>
      <w:r>
        <w:rPr>
          <w:rStyle w:val="23"/>
          <w:rFonts w:hint="eastAsia" w:ascii="仿宋" w:hAnsi="仿宋" w:eastAsia="仿宋" w:cs="Arial"/>
          <w:kern w:val="0"/>
          <w:szCs w:val="21"/>
        </w:rPr>
        <w:t>http://www.bse.cn/</w:t>
      </w:r>
      <w:r>
        <w:rPr>
          <w:rStyle w:val="23"/>
          <w:rFonts w:hint="eastAsia" w:ascii="仿宋" w:hAnsi="仿宋" w:eastAsia="仿宋" w:cs="Arial"/>
          <w:kern w:val="0"/>
          <w:szCs w:val="21"/>
        </w:rPr>
        <w:fldChar w:fldCharType="end"/>
      </w:r>
    </w:p>
    <w:p>
      <w:pPr>
        <w:widowControl/>
        <w:shd w:val="clear" w:color="auto" w:fill="FFFFFF"/>
        <w:spacing w:line="376" w:lineRule="atLeast"/>
        <w:ind w:firstLine="480"/>
        <w:jc w:val="left"/>
        <w:rPr>
          <w:rFonts w:ascii="仿宋" w:hAnsi="仿宋" w:eastAsia="仿宋" w:cs="Arial"/>
          <w:color w:val="333333"/>
          <w:kern w:val="0"/>
          <w:szCs w:val="21"/>
        </w:rPr>
      </w:pPr>
      <w:r>
        <w:rPr>
          <w:rFonts w:hint="eastAsia" w:ascii="仿宋" w:hAnsi="仿宋" w:eastAsia="仿宋" w:cs="Arial"/>
          <w:color w:val="333333"/>
          <w:kern w:val="0"/>
          <w:szCs w:val="21"/>
        </w:rPr>
        <w:t>地址：北京市西城区金融大街丁26号   邮编：100033</w:t>
      </w:r>
    </w:p>
    <w:p>
      <w:pPr>
        <w:widowControl/>
        <w:shd w:val="clear" w:color="auto" w:fill="FFFFFF"/>
        <w:spacing w:line="376" w:lineRule="atLeast"/>
        <w:ind w:firstLine="480"/>
        <w:jc w:val="left"/>
        <w:rPr>
          <w:rFonts w:ascii="仿宋" w:hAnsi="仿宋" w:eastAsia="仿宋"/>
          <w:szCs w:val="21"/>
        </w:rPr>
      </w:pPr>
      <w:r>
        <w:rPr>
          <w:rFonts w:hint="eastAsia" w:ascii="仿宋" w:hAnsi="仿宋" w:eastAsia="仿宋" w:cs="Arial"/>
          <w:color w:val="333333"/>
          <w:kern w:val="0"/>
          <w:szCs w:val="21"/>
        </w:rPr>
        <w:t>服务电话：</w:t>
      </w:r>
      <w:r>
        <w:rPr>
          <w:rFonts w:ascii="仿宋" w:hAnsi="仿宋" w:eastAsia="仿宋" w:cs="Arial"/>
          <w:color w:val="333333"/>
          <w:kern w:val="0"/>
          <w:szCs w:val="21"/>
        </w:rPr>
        <w:t>400-626-3333</w:t>
      </w:r>
    </w:p>
    <w:p>
      <w:pPr>
        <w:tabs>
          <w:tab w:val="left" w:pos="4500"/>
        </w:tabs>
        <w:spacing w:line="336" w:lineRule="auto"/>
        <w:rPr>
          <w:rFonts w:ascii="仿宋" w:hAnsi="仿宋" w:eastAsia="仿宋"/>
          <w:b/>
          <w:szCs w:val="21"/>
        </w:rPr>
      </w:pPr>
      <w:r>
        <w:rPr>
          <w:rFonts w:hint="eastAsia" w:ascii="仿宋" w:hAnsi="仿宋" w:eastAsia="仿宋"/>
          <w:b/>
          <w:szCs w:val="21"/>
        </w:rPr>
        <w:t>中国证券业协会</w:t>
      </w:r>
    </w:p>
    <w:p>
      <w:pPr>
        <w:tabs>
          <w:tab w:val="left" w:pos="4500"/>
        </w:tabs>
        <w:spacing w:line="336" w:lineRule="auto"/>
        <w:ind w:firstLine="420" w:firstLineChars="200"/>
        <w:rPr>
          <w:rFonts w:ascii="仿宋" w:hAnsi="仿宋" w:eastAsia="仿宋"/>
          <w:bCs/>
          <w:color w:val="000000"/>
          <w:szCs w:val="21"/>
        </w:rPr>
      </w:pPr>
      <w:r>
        <w:rPr>
          <w:rFonts w:hint="eastAsia" w:ascii="仿宋" w:hAnsi="仿宋" w:eastAsia="仿宋"/>
          <w:bCs/>
          <w:color w:val="000000"/>
          <w:szCs w:val="21"/>
        </w:rPr>
        <w:t>网站：</w:t>
      </w:r>
      <w:r>
        <w:fldChar w:fldCharType="begin"/>
      </w:r>
      <w:r>
        <w:instrText xml:space="preserve"> HYPERLINK "http://www.sac.net/" </w:instrText>
      </w:r>
      <w:r>
        <w:fldChar w:fldCharType="separate"/>
      </w:r>
      <w:r>
        <w:rPr>
          <w:rFonts w:hint="eastAsia" w:ascii="仿宋" w:hAnsi="仿宋" w:eastAsia="仿宋"/>
          <w:bCs/>
          <w:color w:val="000000"/>
          <w:szCs w:val="21"/>
        </w:rPr>
        <w:t>http://www.sac.net</w:t>
      </w:r>
      <w:r>
        <w:rPr>
          <w:rFonts w:hint="eastAsia" w:ascii="仿宋" w:hAnsi="仿宋" w:eastAsia="仿宋"/>
          <w:bCs/>
          <w:color w:val="000000"/>
          <w:szCs w:val="21"/>
        </w:rPr>
        <w:fldChar w:fldCharType="end"/>
      </w:r>
    </w:p>
    <w:p>
      <w:pPr>
        <w:tabs>
          <w:tab w:val="left" w:pos="4500"/>
        </w:tabs>
        <w:spacing w:line="336" w:lineRule="auto"/>
        <w:rPr>
          <w:rFonts w:ascii="仿宋" w:hAnsi="仿宋" w:eastAsia="仿宋"/>
          <w:bCs/>
          <w:color w:val="000000"/>
          <w:szCs w:val="21"/>
        </w:rPr>
      </w:pPr>
      <w:r>
        <w:rPr>
          <w:rFonts w:hint="eastAsia" w:ascii="仿宋" w:hAnsi="仿宋" w:eastAsia="仿宋"/>
          <w:bCs/>
          <w:color w:val="000000"/>
          <w:szCs w:val="21"/>
        </w:rPr>
        <w:t>　  地 址：北京市西城区金融大街19号富凯大厦B座2层  邮政编码：100032</w:t>
      </w:r>
    </w:p>
    <w:p>
      <w:pPr>
        <w:tabs>
          <w:tab w:val="left" w:pos="4500"/>
        </w:tabs>
        <w:spacing w:line="336" w:lineRule="auto"/>
        <w:rPr>
          <w:rFonts w:ascii="仿宋" w:hAnsi="仿宋" w:eastAsia="仿宋"/>
          <w:b/>
          <w:szCs w:val="21"/>
        </w:rPr>
      </w:pPr>
      <w:r>
        <w:rPr>
          <w:rFonts w:hint="eastAsia" w:ascii="仿宋" w:hAnsi="仿宋" w:eastAsia="仿宋"/>
          <w:b/>
          <w:szCs w:val="21"/>
        </w:rPr>
        <w:t>中国证券投资基金业协会</w:t>
      </w:r>
    </w:p>
    <w:p>
      <w:pPr>
        <w:tabs>
          <w:tab w:val="left" w:pos="4500"/>
        </w:tabs>
        <w:spacing w:line="336" w:lineRule="auto"/>
        <w:ind w:firstLine="420" w:firstLineChars="200"/>
        <w:rPr>
          <w:rFonts w:ascii="仿宋" w:hAnsi="仿宋" w:eastAsia="仿宋"/>
          <w:bCs/>
          <w:color w:val="000000"/>
          <w:szCs w:val="21"/>
        </w:rPr>
      </w:pPr>
      <w:r>
        <w:rPr>
          <w:rFonts w:hint="eastAsia" w:ascii="仿宋" w:hAnsi="仿宋" w:eastAsia="仿宋"/>
          <w:bCs/>
          <w:color w:val="000000"/>
          <w:szCs w:val="21"/>
        </w:rPr>
        <w:t>网址:</w:t>
      </w:r>
      <w:r>
        <w:rPr>
          <w:rFonts w:ascii="仿宋" w:hAnsi="仿宋" w:eastAsia="仿宋"/>
          <w:bCs/>
          <w:color w:val="000000"/>
          <w:szCs w:val="21"/>
        </w:rPr>
        <w:t>www.amac.org.cn</w:t>
      </w:r>
    </w:p>
    <w:p>
      <w:pPr>
        <w:tabs>
          <w:tab w:val="left" w:pos="4500"/>
        </w:tabs>
        <w:spacing w:line="336" w:lineRule="auto"/>
        <w:rPr>
          <w:rFonts w:ascii="仿宋" w:hAnsi="仿宋" w:eastAsia="仿宋"/>
          <w:bCs/>
          <w:color w:val="000000"/>
          <w:szCs w:val="21"/>
        </w:rPr>
      </w:pPr>
      <w:r>
        <w:rPr>
          <w:rFonts w:hint="eastAsia" w:ascii="仿宋" w:hAnsi="仿宋" w:eastAsia="仿宋"/>
          <w:bCs/>
          <w:color w:val="000000"/>
          <w:szCs w:val="21"/>
        </w:rPr>
        <w:t xml:space="preserve">    </w:t>
      </w:r>
      <w:r>
        <w:rPr>
          <w:rFonts w:ascii="仿宋" w:hAnsi="仿宋" w:eastAsia="仿宋"/>
          <w:bCs/>
          <w:color w:val="000000"/>
          <w:szCs w:val="21"/>
        </w:rPr>
        <w:t>地址：北京市西城区金融大街20号交通银行大厦B座9层</w:t>
      </w:r>
    </w:p>
    <w:p>
      <w:pPr>
        <w:tabs>
          <w:tab w:val="left" w:pos="4500"/>
        </w:tabs>
        <w:spacing w:line="336" w:lineRule="auto"/>
        <w:rPr>
          <w:rFonts w:ascii="仿宋" w:hAnsi="仿宋" w:eastAsia="仿宋"/>
          <w:bCs/>
          <w:color w:val="000000"/>
          <w:szCs w:val="21"/>
        </w:rPr>
      </w:pPr>
      <w:r>
        <w:rPr>
          <w:rFonts w:hint="eastAsia" w:ascii="仿宋" w:hAnsi="仿宋" w:eastAsia="仿宋"/>
          <w:bCs/>
          <w:color w:val="000000"/>
          <w:szCs w:val="21"/>
        </w:rPr>
        <w:t xml:space="preserve">    </w:t>
      </w:r>
      <w:r>
        <w:rPr>
          <w:rFonts w:ascii="仿宋" w:hAnsi="仿宋" w:eastAsia="仿宋"/>
          <w:bCs/>
          <w:color w:val="000000"/>
          <w:szCs w:val="21"/>
        </w:rPr>
        <w:t>私募基金部：</w:t>
      </w:r>
      <w:r>
        <w:rPr>
          <w:rFonts w:ascii="仿宋" w:hAnsi="仿宋" w:eastAsia="仿宋"/>
          <w:color w:val="000000"/>
          <w:szCs w:val="21"/>
        </w:rPr>
        <w:t>010-66578200</w:t>
      </w:r>
      <w:r>
        <w:rPr>
          <w:rFonts w:hint="eastAsia" w:ascii="仿宋" w:hAnsi="仿宋" w:eastAsia="仿宋"/>
          <w:color w:val="000000"/>
          <w:szCs w:val="21"/>
        </w:rPr>
        <w:t xml:space="preserve">  </w:t>
      </w:r>
      <w:r>
        <w:rPr>
          <w:rFonts w:hint="eastAsia" w:ascii="仿宋" w:hAnsi="仿宋" w:eastAsia="仿宋"/>
          <w:bCs/>
          <w:color w:val="000000"/>
          <w:szCs w:val="21"/>
        </w:rPr>
        <w:t xml:space="preserve">  </w:t>
      </w:r>
      <w:r>
        <w:rPr>
          <w:rFonts w:ascii="仿宋" w:hAnsi="仿宋" w:eastAsia="仿宋"/>
          <w:bCs/>
          <w:color w:val="000000"/>
          <w:szCs w:val="21"/>
        </w:rPr>
        <w:t>资管产品部：01066578317</w:t>
      </w:r>
      <w:r>
        <w:rPr>
          <w:rFonts w:hint="eastAsia" w:ascii="仿宋" w:hAnsi="仿宋" w:eastAsia="仿宋"/>
          <w:bCs/>
          <w:color w:val="000000"/>
          <w:szCs w:val="21"/>
        </w:rPr>
        <w:t xml:space="preserve">  </w:t>
      </w:r>
      <w:r>
        <w:rPr>
          <w:rFonts w:ascii="仿宋" w:hAnsi="仿宋" w:eastAsia="仿宋"/>
          <w:bCs/>
          <w:color w:val="000000"/>
          <w:szCs w:val="21"/>
        </w:rPr>
        <w:t>前台电话：010-66578669（行政专用）</w:t>
      </w:r>
      <w:r>
        <w:rPr>
          <w:rFonts w:ascii="宋体" w:hAnsi="宋体" w:eastAsia="仿宋"/>
          <w:bCs/>
          <w:color w:val="000000"/>
          <w:szCs w:val="21"/>
        </w:rPr>
        <w:t> </w:t>
      </w:r>
    </w:p>
    <w:p>
      <w:pPr>
        <w:tabs>
          <w:tab w:val="left" w:pos="4500"/>
        </w:tabs>
        <w:spacing w:line="336" w:lineRule="auto"/>
        <w:ind w:firstLine="405"/>
        <w:rPr>
          <w:rFonts w:ascii="仿宋" w:hAnsi="仿宋" w:eastAsia="仿宋"/>
          <w:bCs/>
          <w:color w:val="000000"/>
          <w:szCs w:val="21"/>
        </w:rPr>
      </w:pPr>
      <w:r>
        <w:rPr>
          <w:rFonts w:ascii="仿宋" w:hAnsi="仿宋" w:eastAsia="仿宋"/>
          <w:bCs/>
          <w:color w:val="000000"/>
          <w:szCs w:val="21"/>
        </w:rPr>
        <w:t>官方微信公众号：中国基金业协会（CHINAAMAC）</w:t>
      </w:r>
    </w:p>
    <w:p>
      <w:pPr>
        <w:tabs>
          <w:tab w:val="left" w:pos="4500"/>
        </w:tabs>
        <w:spacing w:line="336" w:lineRule="auto"/>
        <w:rPr>
          <w:rFonts w:ascii="仿宋" w:hAnsi="仿宋" w:eastAsia="仿宋"/>
          <w:b/>
          <w:szCs w:val="21"/>
        </w:rPr>
      </w:pPr>
      <w:r>
        <w:rPr>
          <w:rFonts w:hint="eastAsia" w:ascii="仿宋" w:hAnsi="仿宋" w:eastAsia="仿宋"/>
          <w:b/>
          <w:szCs w:val="21"/>
        </w:rPr>
        <w:t>中国期货业协会</w:t>
      </w:r>
    </w:p>
    <w:p>
      <w:pPr>
        <w:tabs>
          <w:tab w:val="left" w:pos="4500"/>
        </w:tabs>
        <w:spacing w:line="336" w:lineRule="auto"/>
        <w:ind w:firstLine="420" w:firstLineChars="200"/>
        <w:rPr>
          <w:rFonts w:ascii="仿宋" w:hAnsi="仿宋" w:eastAsia="仿宋"/>
          <w:bCs/>
          <w:color w:val="000000"/>
          <w:szCs w:val="21"/>
        </w:rPr>
      </w:pPr>
      <w:r>
        <w:rPr>
          <w:rFonts w:hint="eastAsia" w:ascii="仿宋" w:hAnsi="仿宋" w:eastAsia="仿宋"/>
          <w:bCs/>
          <w:color w:val="000000"/>
          <w:szCs w:val="21"/>
        </w:rPr>
        <w:t xml:space="preserve"> 网址:</w:t>
      </w:r>
      <w:r>
        <w:rPr>
          <w:rFonts w:ascii="仿宋" w:hAnsi="仿宋" w:eastAsia="仿宋"/>
          <w:bCs/>
          <w:color w:val="000000"/>
          <w:szCs w:val="21"/>
        </w:rPr>
        <w:t>www.cfachina.org</w:t>
      </w:r>
    </w:p>
    <w:p>
      <w:pPr>
        <w:tabs>
          <w:tab w:val="left" w:pos="4500"/>
        </w:tabs>
        <w:spacing w:line="336" w:lineRule="auto"/>
        <w:ind w:firstLine="525" w:firstLineChars="250"/>
        <w:rPr>
          <w:rFonts w:ascii="仿宋" w:hAnsi="仿宋" w:eastAsia="仿宋"/>
          <w:bCs/>
          <w:color w:val="000000"/>
          <w:szCs w:val="21"/>
        </w:rPr>
      </w:pPr>
      <w:r>
        <w:rPr>
          <w:rFonts w:hint="eastAsia" w:ascii="仿宋" w:hAnsi="仿宋" w:eastAsia="仿宋"/>
          <w:bCs/>
          <w:color w:val="000000"/>
          <w:szCs w:val="21"/>
        </w:rPr>
        <w:t xml:space="preserve">地址：北京市西城区金融大街 </w:t>
      </w:r>
      <w:r>
        <w:rPr>
          <w:rFonts w:ascii="仿宋" w:hAnsi="仿宋" w:eastAsia="仿宋"/>
          <w:bCs/>
          <w:color w:val="000000"/>
          <w:szCs w:val="21"/>
        </w:rPr>
        <w:t>33</w:t>
      </w:r>
      <w:r>
        <w:rPr>
          <w:rFonts w:hint="eastAsia" w:ascii="仿宋" w:hAnsi="仿宋" w:eastAsia="仿宋"/>
          <w:bCs/>
          <w:color w:val="000000"/>
          <w:szCs w:val="21"/>
        </w:rPr>
        <w:t xml:space="preserve">号通泰大厦 </w:t>
      </w:r>
      <w:r>
        <w:rPr>
          <w:rFonts w:ascii="仿宋" w:hAnsi="仿宋" w:eastAsia="仿宋"/>
          <w:bCs/>
          <w:color w:val="000000"/>
          <w:szCs w:val="21"/>
        </w:rPr>
        <w:t>C</w:t>
      </w:r>
      <w:r>
        <w:rPr>
          <w:rFonts w:hint="eastAsia" w:ascii="仿宋" w:hAnsi="仿宋" w:eastAsia="仿宋"/>
          <w:bCs/>
          <w:color w:val="000000"/>
          <w:szCs w:val="21"/>
        </w:rPr>
        <w:t>座八层  邮编：</w:t>
      </w:r>
      <w:r>
        <w:rPr>
          <w:rFonts w:ascii="仿宋" w:hAnsi="仿宋" w:eastAsia="仿宋"/>
          <w:bCs/>
          <w:color w:val="000000"/>
          <w:szCs w:val="21"/>
        </w:rPr>
        <w:t>100140</w:t>
      </w:r>
    </w:p>
    <w:p>
      <w:pPr>
        <w:tabs>
          <w:tab w:val="left" w:pos="4500"/>
        </w:tabs>
        <w:spacing w:line="336" w:lineRule="auto"/>
        <w:ind w:firstLine="525" w:firstLineChars="250"/>
        <w:rPr>
          <w:rFonts w:ascii="仿宋" w:hAnsi="仿宋" w:eastAsia="仿宋"/>
          <w:bCs/>
          <w:color w:val="000000"/>
          <w:szCs w:val="21"/>
        </w:rPr>
      </w:pPr>
      <w:r>
        <w:rPr>
          <w:rFonts w:hint="eastAsia" w:ascii="仿宋" w:hAnsi="仿宋" w:eastAsia="仿宋"/>
          <w:bCs/>
          <w:color w:val="000000"/>
          <w:szCs w:val="21"/>
        </w:rPr>
        <w:t xml:space="preserve">联系电话： </w:t>
      </w:r>
      <w:r>
        <w:rPr>
          <w:rFonts w:ascii="仿宋" w:hAnsi="仿宋" w:eastAsia="仿宋"/>
          <w:bCs/>
          <w:color w:val="000000"/>
          <w:szCs w:val="21"/>
        </w:rPr>
        <w:t>010-88087239</w:t>
      </w:r>
      <w:r>
        <w:rPr>
          <w:rFonts w:hint="eastAsia" w:ascii="仿宋" w:hAnsi="仿宋" w:eastAsia="仿宋"/>
          <w:bCs/>
          <w:color w:val="000000"/>
          <w:szCs w:val="21"/>
        </w:rPr>
        <w:t xml:space="preserve">  传真电话： </w:t>
      </w:r>
      <w:r>
        <w:rPr>
          <w:rFonts w:ascii="仿宋" w:hAnsi="仿宋" w:eastAsia="仿宋"/>
          <w:bCs/>
          <w:color w:val="000000"/>
          <w:szCs w:val="21"/>
        </w:rPr>
        <w:t>010-88087060</w:t>
      </w:r>
    </w:p>
    <w:p>
      <w:pPr>
        <w:tabs>
          <w:tab w:val="left" w:pos="4500"/>
        </w:tabs>
        <w:spacing w:line="336" w:lineRule="auto"/>
        <w:ind w:firstLine="525" w:firstLineChars="250"/>
        <w:rPr>
          <w:rFonts w:ascii="仿宋" w:hAnsi="仿宋" w:eastAsia="仿宋"/>
          <w:bCs/>
          <w:color w:val="000000"/>
          <w:szCs w:val="21"/>
        </w:rPr>
      </w:pPr>
      <w:r>
        <w:rPr>
          <w:rFonts w:hint="eastAsia" w:ascii="仿宋" w:hAnsi="仿宋" w:eastAsia="仿宋"/>
          <w:bCs/>
          <w:color w:val="000000"/>
          <w:szCs w:val="21"/>
        </w:rPr>
        <w:t xml:space="preserve">电子邮箱： </w:t>
      </w:r>
      <w:r>
        <w:fldChar w:fldCharType="begin"/>
      </w:r>
      <w:r>
        <w:instrText xml:space="preserve"> HYPERLINK "mailto:cfa@cfachina.org" </w:instrText>
      </w:r>
      <w:r>
        <w:fldChar w:fldCharType="separate"/>
      </w:r>
      <w:r>
        <w:rPr>
          <w:rStyle w:val="23"/>
          <w:rFonts w:ascii="仿宋" w:hAnsi="仿宋" w:eastAsia="仿宋"/>
          <w:bCs/>
          <w:szCs w:val="21"/>
        </w:rPr>
        <w:t>cfa@cfachina.org</w:t>
      </w:r>
      <w:r>
        <w:rPr>
          <w:rStyle w:val="23"/>
          <w:rFonts w:ascii="仿宋" w:hAnsi="仿宋" w:eastAsia="仿宋"/>
          <w:bCs/>
          <w:szCs w:val="21"/>
        </w:rPr>
        <w:fldChar w:fldCharType="end"/>
      </w:r>
    </w:p>
    <w:p>
      <w:pPr>
        <w:tabs>
          <w:tab w:val="left" w:pos="4500"/>
        </w:tabs>
        <w:spacing w:line="336" w:lineRule="auto"/>
        <w:rPr>
          <w:rFonts w:ascii="仿宋" w:hAnsi="仿宋" w:eastAsia="仿宋"/>
          <w:b/>
          <w:szCs w:val="21"/>
        </w:rPr>
      </w:pPr>
      <w:r>
        <w:rPr>
          <w:rFonts w:ascii="仿宋" w:hAnsi="仿宋" w:eastAsia="仿宋"/>
          <w:b/>
          <w:szCs w:val="21"/>
        </w:rPr>
        <w:t>中国证券投资者保护基金有限责任公司</w:t>
      </w:r>
    </w:p>
    <w:p>
      <w:pPr>
        <w:tabs>
          <w:tab w:val="left" w:pos="4500"/>
        </w:tabs>
        <w:spacing w:line="336" w:lineRule="auto"/>
        <w:ind w:firstLine="525" w:firstLineChars="250"/>
        <w:rPr>
          <w:rFonts w:ascii="仿宋" w:hAnsi="仿宋" w:eastAsia="仿宋"/>
          <w:bCs/>
          <w:color w:val="000000"/>
          <w:szCs w:val="21"/>
        </w:rPr>
      </w:pPr>
      <w:r>
        <w:rPr>
          <w:rFonts w:hint="eastAsia" w:ascii="仿宋" w:hAnsi="仿宋" w:eastAsia="仿宋"/>
          <w:bCs/>
          <w:color w:val="000000"/>
          <w:szCs w:val="21"/>
        </w:rPr>
        <w:t>网址:</w:t>
      </w:r>
      <w:r>
        <w:fldChar w:fldCharType="begin"/>
      </w:r>
      <w:r>
        <w:instrText xml:space="preserve"> HYPERLINK "http://www.sipf.com.cn" </w:instrText>
      </w:r>
      <w:r>
        <w:fldChar w:fldCharType="separate"/>
      </w:r>
      <w:r>
        <w:rPr>
          <w:rFonts w:hint="eastAsia" w:ascii="仿宋" w:hAnsi="仿宋" w:eastAsia="仿宋"/>
          <w:bCs/>
          <w:color w:val="000000"/>
          <w:szCs w:val="21"/>
        </w:rPr>
        <w:t>www.sipf.com.cn</w:t>
      </w:r>
      <w:r>
        <w:rPr>
          <w:rFonts w:hint="eastAsia" w:ascii="仿宋" w:hAnsi="仿宋" w:eastAsia="仿宋"/>
          <w:bCs/>
          <w:color w:val="000000"/>
          <w:szCs w:val="21"/>
        </w:rPr>
        <w:fldChar w:fldCharType="end"/>
      </w:r>
    </w:p>
    <w:p>
      <w:pPr>
        <w:tabs>
          <w:tab w:val="left" w:pos="4500"/>
        </w:tabs>
        <w:spacing w:line="336" w:lineRule="auto"/>
        <w:ind w:firstLine="315" w:firstLineChars="150"/>
        <w:rPr>
          <w:rFonts w:ascii="仿宋" w:hAnsi="仿宋" w:eastAsia="仿宋"/>
          <w:bCs/>
          <w:color w:val="000000"/>
          <w:szCs w:val="21"/>
        </w:rPr>
      </w:pPr>
      <w:r>
        <w:rPr>
          <w:rFonts w:ascii="仿宋" w:hAnsi="仿宋" w:eastAsia="仿宋"/>
          <w:bCs/>
          <w:color w:val="000000"/>
          <w:szCs w:val="21"/>
        </w:rPr>
        <w:t>　地址：北京西城区金融大街5号新盛大厦B座22层</w:t>
      </w:r>
    </w:p>
    <w:p>
      <w:pPr>
        <w:tabs>
          <w:tab w:val="left" w:pos="4500"/>
        </w:tabs>
        <w:spacing w:line="336" w:lineRule="auto"/>
        <w:rPr>
          <w:rFonts w:ascii="仿宋" w:hAnsi="仿宋" w:eastAsia="仿宋"/>
          <w:bCs/>
          <w:color w:val="000000" w:themeColor="text1"/>
          <w:szCs w:val="21"/>
          <w14:textFill>
            <w14:solidFill>
              <w14:schemeClr w14:val="tx1"/>
            </w14:solidFill>
          </w14:textFill>
        </w:rPr>
      </w:pPr>
      <w:r>
        <w:fldChar w:fldCharType="begin"/>
      </w:r>
      <w:r>
        <w:instrText xml:space="preserve"> HYPERLINK "http://www.baidu.com/link?url=wo39I_w6iS5ns96FwCP_BSpsrbVYb8BfYT9JddeUA2Cb1tZr6x8ef45zQnhTs0-L&amp;wd=&amp;eqid=da8dcb5f000323050000000456663319" \t "_blank" </w:instrText>
      </w:r>
      <w:r>
        <w:fldChar w:fldCharType="separate"/>
      </w:r>
      <w:r>
        <w:rPr>
          <w:rStyle w:val="23"/>
          <w:rFonts w:ascii="仿宋" w:hAnsi="仿宋" w:eastAsia="仿宋" w:cs="Arial"/>
          <w:b/>
          <w:bCs/>
          <w:color w:val="000000" w:themeColor="text1"/>
          <w:szCs w:val="21"/>
          <w:u w:val="none"/>
          <w14:textFill>
            <w14:solidFill>
              <w14:schemeClr w14:val="tx1"/>
            </w14:solidFill>
          </w14:textFill>
        </w:rPr>
        <w:t>中国上市公司协会</w:t>
      </w:r>
      <w:r>
        <w:rPr>
          <w:rStyle w:val="23"/>
          <w:rFonts w:ascii="仿宋" w:hAnsi="仿宋" w:eastAsia="仿宋" w:cs="Arial"/>
          <w:b/>
          <w:bCs/>
          <w:color w:val="000000" w:themeColor="text1"/>
          <w:szCs w:val="21"/>
          <w:u w:val="none"/>
          <w14:textFill>
            <w14:solidFill>
              <w14:schemeClr w14:val="tx1"/>
            </w14:solidFill>
          </w14:textFill>
        </w:rPr>
        <w:fldChar w:fldCharType="end"/>
      </w:r>
    </w:p>
    <w:p>
      <w:pPr>
        <w:widowControl/>
        <w:shd w:val="clear" w:color="auto" w:fill="FFFFFF"/>
        <w:spacing w:line="376" w:lineRule="atLeast"/>
        <w:ind w:firstLine="480"/>
        <w:jc w:val="left"/>
        <w:rPr>
          <w:rFonts w:ascii="仿宋" w:hAnsi="仿宋" w:eastAsia="仿宋" w:cs="Arial"/>
          <w:color w:val="333333"/>
          <w:kern w:val="0"/>
          <w:szCs w:val="21"/>
        </w:rPr>
      </w:pPr>
      <w:r>
        <w:rPr>
          <w:rFonts w:hint="eastAsia" w:ascii="仿宋" w:hAnsi="仿宋" w:eastAsia="仿宋" w:cs="Arial"/>
          <w:color w:val="333333"/>
          <w:kern w:val="0"/>
          <w:szCs w:val="21"/>
        </w:rPr>
        <w:t>网址：</w:t>
      </w:r>
      <w:r>
        <w:rPr>
          <w:rFonts w:ascii="仿宋" w:hAnsi="仿宋" w:eastAsia="仿宋" w:cs="Arial"/>
          <w:color w:val="333333"/>
          <w:kern w:val="0"/>
          <w:szCs w:val="21"/>
        </w:rPr>
        <w:t>www.capco.org.cn</w:t>
      </w:r>
    </w:p>
    <w:p>
      <w:pPr>
        <w:widowControl/>
        <w:shd w:val="clear" w:color="auto" w:fill="FFFFFF"/>
        <w:spacing w:line="376" w:lineRule="atLeast"/>
        <w:ind w:firstLine="480"/>
        <w:jc w:val="left"/>
        <w:rPr>
          <w:rFonts w:ascii="仿宋" w:hAnsi="仿宋" w:eastAsia="仿宋"/>
          <w:bCs/>
          <w:color w:val="000000"/>
          <w:szCs w:val="21"/>
        </w:rPr>
      </w:pPr>
      <w:r>
        <w:rPr>
          <w:rFonts w:ascii="仿宋" w:hAnsi="仿宋" w:eastAsia="仿宋" w:cs="Arial"/>
          <w:color w:val="333333"/>
          <w:kern w:val="0"/>
          <w:szCs w:val="21"/>
        </w:rPr>
        <w:t>地</w:t>
      </w:r>
      <w:r>
        <w:rPr>
          <w:rFonts w:ascii="Arial" w:hAnsi="Arial" w:eastAsia="仿宋" w:cs="Arial"/>
          <w:color w:val="333333"/>
          <w:kern w:val="0"/>
          <w:szCs w:val="21"/>
        </w:rPr>
        <w:t> </w:t>
      </w:r>
      <w:r>
        <w:rPr>
          <w:rFonts w:ascii="仿宋" w:hAnsi="仿宋" w:eastAsia="仿宋" w:cs="Arial"/>
          <w:color w:val="333333"/>
          <w:kern w:val="0"/>
          <w:szCs w:val="21"/>
        </w:rPr>
        <w:t>址</w:t>
      </w:r>
      <w:r>
        <w:rPr>
          <w:rFonts w:ascii="仿宋" w:hAnsi="仿宋" w:eastAsia="仿宋"/>
          <w:bCs/>
          <w:color w:val="000000"/>
          <w:szCs w:val="21"/>
        </w:rPr>
        <w:t>：北京市西城区金融大街33号通泰大厦C座3层  邮编：100032</w:t>
      </w:r>
    </w:p>
    <w:p>
      <w:pPr>
        <w:tabs>
          <w:tab w:val="left" w:pos="4500"/>
        </w:tabs>
        <w:spacing w:line="336" w:lineRule="auto"/>
        <w:ind w:firstLine="405"/>
        <w:rPr>
          <w:rFonts w:ascii="仿宋" w:hAnsi="仿宋" w:eastAsia="仿宋"/>
          <w:bCs/>
          <w:color w:val="000000"/>
          <w:szCs w:val="21"/>
        </w:rPr>
      </w:pPr>
    </w:p>
    <w:p>
      <w:pPr>
        <w:spacing w:line="360" w:lineRule="auto"/>
        <w:jc w:val="left"/>
        <w:rPr>
          <w:rFonts w:ascii="仿宋" w:hAnsi="仿宋" w:eastAsia="仿宋"/>
          <w:b/>
          <w:szCs w:val="21"/>
        </w:rPr>
      </w:pPr>
    </w:p>
    <w:sectPr>
      <w:headerReference r:id="rId3" w:type="default"/>
      <w:footerReference r:id="rId4" w:type="default"/>
      <w:pgSz w:w="11906" w:h="16838"/>
      <w:pgMar w:top="1440" w:right="992" w:bottom="1134" w:left="1418" w:header="851" w:footer="6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auto"/>
    <w:pitch w:val="default"/>
    <w:sig w:usb0="00000000" w:usb1="00000000" w:usb2="00000000" w:usb3="00000000" w:csb0="00040000" w:csb1="00000000"/>
  </w:font>
  <w:font w:name="inherit">
    <w:altName w:val="Times New Roman"/>
    <w:panose1 w:val="00000000000000000000"/>
    <w:charset w:val="00"/>
    <w:family w:val="roman"/>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CTLaoSongSJ">
    <w:altName w:val="宋体"/>
    <w:panose1 w:val="00000000000000000000"/>
    <w:charset w:val="86"/>
    <w:family w:val="auto"/>
    <w:pitch w:val="default"/>
    <w:sig w:usb0="00000000" w:usb1="00000000" w:usb2="0000001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AdobeSongStd-Light">
    <w:altName w:val="宋体"/>
    <w:panose1 w:val="00000000000000000000"/>
    <w:charset w:val="86"/>
    <w:family w:val="auto"/>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501028"/>
    </w:sdtPr>
    <w:sdtContent>
      <w:p>
        <w:pPr>
          <w:pStyle w:val="13"/>
          <w:jc w:val="center"/>
        </w:pPr>
        <w:r>
          <w:fldChar w:fldCharType="begin"/>
        </w:r>
        <w:r>
          <w:instrText xml:space="preserve"> PAGE   \* MERGEFORMAT </w:instrText>
        </w:r>
        <w:r>
          <w:fldChar w:fldCharType="separate"/>
        </w:r>
        <w:r>
          <w:rPr>
            <w:lang w:val="zh-CN"/>
          </w:rPr>
          <w:t>48</w:t>
        </w:r>
        <w:r>
          <w:rPr>
            <w:lang w:val="zh-CN"/>
          </w:rPr>
          <w:fldChar w:fldCharType="end"/>
        </w:r>
      </w:p>
    </w:sdtContent>
  </w:sdt>
  <w:p>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rPr>
        <w:rFonts w:hint="default" w:ascii="楷体_GB2312" w:eastAsia="楷体_GB2312"/>
        <w:sz w:val="21"/>
        <w:szCs w:val="21"/>
        <w:lang w:val="en-US" w:eastAsia="zh-CN"/>
      </w:rPr>
    </w:pPr>
    <w:r>
      <w:rPr>
        <w:rFonts w:hint="eastAsia" w:ascii="楷体_GB2312" w:hAnsi="宋体" w:eastAsia="楷体_GB2312"/>
        <w:b/>
        <w:bCs/>
        <w:color w:val="000000"/>
        <w:sz w:val="48"/>
        <w:szCs w:val="48"/>
      </w:rPr>
      <w:drawing>
        <wp:inline distT="0" distB="0" distL="0" distR="0">
          <wp:extent cx="1352550" cy="194310"/>
          <wp:effectExtent l="19050" t="0" r="0" b="0"/>
          <wp:docPr id="4" name="图片 4" descr="证券_股份_全称_无辅助线标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证券_股份_全称_无辅助线标准"/>
                  <pic:cNvPicPr>
                    <a:picLocks noChangeAspect="1" noChangeArrowheads="1"/>
                  </pic:cNvPicPr>
                </pic:nvPicPr>
                <pic:blipFill>
                  <a:blip r:embed="rId1"/>
                  <a:srcRect/>
                  <a:stretch>
                    <a:fillRect/>
                  </a:stretch>
                </pic:blipFill>
                <pic:spPr>
                  <a:xfrm>
                    <a:off x="0" y="0"/>
                    <a:ext cx="1344827" cy="193364"/>
                  </a:xfrm>
                  <a:prstGeom prst="rect">
                    <a:avLst/>
                  </a:prstGeom>
                  <a:noFill/>
                  <a:ln w="9525">
                    <a:noFill/>
                    <a:miter lim="800000"/>
                    <a:headEnd/>
                    <a:tailEnd/>
                  </a:ln>
                </pic:spPr>
              </pic:pic>
            </a:graphicData>
          </a:graphic>
        </wp:inline>
      </w:drawing>
    </w:r>
    <w:r>
      <w:ptab w:relativeTo="margin" w:alignment="center" w:leader="none"/>
    </w:r>
    <w:r>
      <w:rPr>
        <w:rFonts w:hint="eastAsia"/>
        <w:b/>
        <w:sz w:val="21"/>
        <w:szCs w:val="21"/>
      </w:rPr>
      <w:t>开户合同书</w:t>
    </w:r>
    <w:r>
      <w:ptab w:relativeTo="margin" w:alignment="right" w:leader="none"/>
    </w:r>
    <w:r>
      <w:rPr>
        <w:rFonts w:hint="eastAsia" w:ascii="楷体_GB2312" w:eastAsia="楷体_GB2312"/>
        <w:sz w:val="21"/>
        <w:szCs w:val="21"/>
      </w:rPr>
      <w:t>版本号：BOCICHINA-202</w:t>
    </w:r>
    <w:r>
      <w:rPr>
        <w:rFonts w:hint="eastAsia" w:ascii="楷体_GB2312" w:eastAsia="楷体_GB2312"/>
        <w:sz w:val="21"/>
        <w:szCs w:val="21"/>
        <w:lang w:val="en-US" w:eastAsia="zh-CN"/>
      </w:rPr>
      <w:t>60701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547D96"/>
    <w:multiLevelType w:val="singleLevel"/>
    <w:tmpl w:val="06547D96"/>
    <w:lvl w:ilvl="0" w:tentative="0">
      <w:start w:val="1"/>
      <w:numFmt w:val="decimal"/>
      <w:suff w:val="nothing"/>
      <w:lvlText w:val="%1、"/>
      <w:lvlJc w:val="left"/>
    </w:lvl>
  </w:abstractNum>
  <w:abstractNum w:abstractNumId="1">
    <w:nsid w:val="0A726807"/>
    <w:multiLevelType w:val="multilevel"/>
    <w:tmpl w:val="0A726807"/>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62B055B3"/>
    <w:multiLevelType w:val="multilevel"/>
    <w:tmpl w:val="62B055B3"/>
    <w:lvl w:ilvl="0" w:tentative="0">
      <w:start w:val="1"/>
      <w:numFmt w:val="chineseCountingThousand"/>
      <w:suff w:val="nothing"/>
      <w:lvlText w:val="%1、"/>
      <w:lvlJc w:val="left"/>
      <w:pPr>
        <w:ind w:left="0" w:firstLine="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C9DD7E4"/>
    <w:multiLevelType w:val="singleLevel"/>
    <w:tmpl w:val="7C9DD7E4"/>
    <w:lvl w:ilvl="0" w:tentative="0">
      <w:start w:val="5"/>
      <w:numFmt w:val="decimal"/>
      <w:suff w:val="nothing"/>
      <w:lvlText w:val="%1．"/>
      <w:lvlJc w:val="left"/>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6DF2"/>
    <w:rsid w:val="00000A85"/>
    <w:rsid w:val="000027E3"/>
    <w:rsid w:val="00003B09"/>
    <w:rsid w:val="00006DCA"/>
    <w:rsid w:val="00012D25"/>
    <w:rsid w:val="0001372D"/>
    <w:rsid w:val="00020D45"/>
    <w:rsid w:val="00024A3F"/>
    <w:rsid w:val="00031216"/>
    <w:rsid w:val="00040432"/>
    <w:rsid w:val="000438D6"/>
    <w:rsid w:val="00043BD8"/>
    <w:rsid w:val="00045580"/>
    <w:rsid w:val="00045FC2"/>
    <w:rsid w:val="000464D8"/>
    <w:rsid w:val="000504C8"/>
    <w:rsid w:val="00053658"/>
    <w:rsid w:val="00054C5F"/>
    <w:rsid w:val="000554EB"/>
    <w:rsid w:val="00060F75"/>
    <w:rsid w:val="00062A82"/>
    <w:rsid w:val="0006574F"/>
    <w:rsid w:val="00067747"/>
    <w:rsid w:val="000700C0"/>
    <w:rsid w:val="00071335"/>
    <w:rsid w:val="000744FC"/>
    <w:rsid w:val="00080408"/>
    <w:rsid w:val="00081440"/>
    <w:rsid w:val="00082E51"/>
    <w:rsid w:val="00084F4C"/>
    <w:rsid w:val="00090AD4"/>
    <w:rsid w:val="0009381A"/>
    <w:rsid w:val="00097555"/>
    <w:rsid w:val="000A0CE2"/>
    <w:rsid w:val="000A4E19"/>
    <w:rsid w:val="000B33CA"/>
    <w:rsid w:val="000B6118"/>
    <w:rsid w:val="000B620E"/>
    <w:rsid w:val="000B6EE4"/>
    <w:rsid w:val="000C1B1B"/>
    <w:rsid w:val="000C339B"/>
    <w:rsid w:val="000C4A9B"/>
    <w:rsid w:val="000C51DC"/>
    <w:rsid w:val="000C5782"/>
    <w:rsid w:val="000D14B6"/>
    <w:rsid w:val="000D2A96"/>
    <w:rsid w:val="000D2FC5"/>
    <w:rsid w:val="000D3099"/>
    <w:rsid w:val="000D64D3"/>
    <w:rsid w:val="000D7ED5"/>
    <w:rsid w:val="000E09ED"/>
    <w:rsid w:val="000E25ED"/>
    <w:rsid w:val="000E3F58"/>
    <w:rsid w:val="000E4D9B"/>
    <w:rsid w:val="000E725B"/>
    <w:rsid w:val="000F0C17"/>
    <w:rsid w:val="000F3E28"/>
    <w:rsid w:val="000F71A5"/>
    <w:rsid w:val="00102CF5"/>
    <w:rsid w:val="0010372A"/>
    <w:rsid w:val="00104C49"/>
    <w:rsid w:val="00107E11"/>
    <w:rsid w:val="00111F8C"/>
    <w:rsid w:val="00113D17"/>
    <w:rsid w:val="00117BA9"/>
    <w:rsid w:val="00117CE7"/>
    <w:rsid w:val="0012049F"/>
    <w:rsid w:val="00124948"/>
    <w:rsid w:val="00134178"/>
    <w:rsid w:val="00134591"/>
    <w:rsid w:val="00134C73"/>
    <w:rsid w:val="001442ED"/>
    <w:rsid w:val="0015141C"/>
    <w:rsid w:val="0015221C"/>
    <w:rsid w:val="001534D0"/>
    <w:rsid w:val="00154523"/>
    <w:rsid w:val="00165D79"/>
    <w:rsid w:val="00166406"/>
    <w:rsid w:val="0016730D"/>
    <w:rsid w:val="00167708"/>
    <w:rsid w:val="00170E00"/>
    <w:rsid w:val="0017208E"/>
    <w:rsid w:val="0018027E"/>
    <w:rsid w:val="00183E15"/>
    <w:rsid w:val="0018612C"/>
    <w:rsid w:val="00191EA6"/>
    <w:rsid w:val="001967C6"/>
    <w:rsid w:val="00196E61"/>
    <w:rsid w:val="001A0CCA"/>
    <w:rsid w:val="001A1CF9"/>
    <w:rsid w:val="001A4572"/>
    <w:rsid w:val="001A4E55"/>
    <w:rsid w:val="001A5FAB"/>
    <w:rsid w:val="001A6442"/>
    <w:rsid w:val="001A74D2"/>
    <w:rsid w:val="001B2428"/>
    <w:rsid w:val="001B445E"/>
    <w:rsid w:val="001B4943"/>
    <w:rsid w:val="001B526C"/>
    <w:rsid w:val="001C0E10"/>
    <w:rsid w:val="001C7D12"/>
    <w:rsid w:val="001D3234"/>
    <w:rsid w:val="001D498A"/>
    <w:rsid w:val="001D7504"/>
    <w:rsid w:val="001E186B"/>
    <w:rsid w:val="001E264A"/>
    <w:rsid w:val="001E40C0"/>
    <w:rsid w:val="001E611C"/>
    <w:rsid w:val="001E7087"/>
    <w:rsid w:val="001F332F"/>
    <w:rsid w:val="001F4561"/>
    <w:rsid w:val="001F5555"/>
    <w:rsid w:val="001F698A"/>
    <w:rsid w:val="001F7ADB"/>
    <w:rsid w:val="00201E53"/>
    <w:rsid w:val="00202D58"/>
    <w:rsid w:val="0020426F"/>
    <w:rsid w:val="00204383"/>
    <w:rsid w:val="00206AE7"/>
    <w:rsid w:val="002132DE"/>
    <w:rsid w:val="00213CBE"/>
    <w:rsid w:val="002164D4"/>
    <w:rsid w:val="0022225B"/>
    <w:rsid w:val="00222AE3"/>
    <w:rsid w:val="00225699"/>
    <w:rsid w:val="00233152"/>
    <w:rsid w:val="002333E6"/>
    <w:rsid w:val="00237388"/>
    <w:rsid w:val="0024155A"/>
    <w:rsid w:val="00242B72"/>
    <w:rsid w:val="0024415F"/>
    <w:rsid w:val="00247648"/>
    <w:rsid w:val="00252F96"/>
    <w:rsid w:val="0025379E"/>
    <w:rsid w:val="00257B4F"/>
    <w:rsid w:val="00261704"/>
    <w:rsid w:val="002700DA"/>
    <w:rsid w:val="00270A94"/>
    <w:rsid w:val="00270ACA"/>
    <w:rsid w:val="00272D5A"/>
    <w:rsid w:val="00274760"/>
    <w:rsid w:val="00276298"/>
    <w:rsid w:val="002821CE"/>
    <w:rsid w:val="00286213"/>
    <w:rsid w:val="0028738E"/>
    <w:rsid w:val="00291649"/>
    <w:rsid w:val="00293B6C"/>
    <w:rsid w:val="00295543"/>
    <w:rsid w:val="00295B39"/>
    <w:rsid w:val="002A1643"/>
    <w:rsid w:val="002A6416"/>
    <w:rsid w:val="002A735D"/>
    <w:rsid w:val="002B77B9"/>
    <w:rsid w:val="002C1316"/>
    <w:rsid w:val="002C3D33"/>
    <w:rsid w:val="002C46B2"/>
    <w:rsid w:val="002C5878"/>
    <w:rsid w:val="002D021B"/>
    <w:rsid w:val="002D1571"/>
    <w:rsid w:val="002D178F"/>
    <w:rsid w:val="002D1EBA"/>
    <w:rsid w:val="002D28C7"/>
    <w:rsid w:val="002E230A"/>
    <w:rsid w:val="002F16F3"/>
    <w:rsid w:val="003004E3"/>
    <w:rsid w:val="003017F1"/>
    <w:rsid w:val="00305D5E"/>
    <w:rsid w:val="00306BFC"/>
    <w:rsid w:val="00311647"/>
    <w:rsid w:val="00313433"/>
    <w:rsid w:val="00313EB9"/>
    <w:rsid w:val="00315066"/>
    <w:rsid w:val="00316491"/>
    <w:rsid w:val="00320DF3"/>
    <w:rsid w:val="003231A3"/>
    <w:rsid w:val="003322AC"/>
    <w:rsid w:val="0033535A"/>
    <w:rsid w:val="003368B7"/>
    <w:rsid w:val="003472D7"/>
    <w:rsid w:val="0035012B"/>
    <w:rsid w:val="00353CB2"/>
    <w:rsid w:val="003540A5"/>
    <w:rsid w:val="00354552"/>
    <w:rsid w:val="003548BC"/>
    <w:rsid w:val="0035562A"/>
    <w:rsid w:val="00356122"/>
    <w:rsid w:val="003567FC"/>
    <w:rsid w:val="00361AE9"/>
    <w:rsid w:val="003622E9"/>
    <w:rsid w:val="00366529"/>
    <w:rsid w:val="0036749A"/>
    <w:rsid w:val="00370656"/>
    <w:rsid w:val="00370FCD"/>
    <w:rsid w:val="00371EB6"/>
    <w:rsid w:val="00372369"/>
    <w:rsid w:val="003723B7"/>
    <w:rsid w:val="0037582E"/>
    <w:rsid w:val="00377187"/>
    <w:rsid w:val="003800A5"/>
    <w:rsid w:val="003803A9"/>
    <w:rsid w:val="00380A7B"/>
    <w:rsid w:val="0039135E"/>
    <w:rsid w:val="003920B2"/>
    <w:rsid w:val="003A77F2"/>
    <w:rsid w:val="003B140B"/>
    <w:rsid w:val="003B1613"/>
    <w:rsid w:val="003B1885"/>
    <w:rsid w:val="003B658D"/>
    <w:rsid w:val="003B6A16"/>
    <w:rsid w:val="003B71B4"/>
    <w:rsid w:val="003C156D"/>
    <w:rsid w:val="003C2863"/>
    <w:rsid w:val="003C47FF"/>
    <w:rsid w:val="003C53D8"/>
    <w:rsid w:val="003C6423"/>
    <w:rsid w:val="003C7B92"/>
    <w:rsid w:val="003E0C7B"/>
    <w:rsid w:val="003E77A5"/>
    <w:rsid w:val="003F1453"/>
    <w:rsid w:val="003F170F"/>
    <w:rsid w:val="003F337A"/>
    <w:rsid w:val="003F4503"/>
    <w:rsid w:val="003F609F"/>
    <w:rsid w:val="003F7094"/>
    <w:rsid w:val="00402A85"/>
    <w:rsid w:val="00402C38"/>
    <w:rsid w:val="0041014F"/>
    <w:rsid w:val="004116AD"/>
    <w:rsid w:val="00413C9E"/>
    <w:rsid w:val="00413FC7"/>
    <w:rsid w:val="0041517E"/>
    <w:rsid w:val="004159CA"/>
    <w:rsid w:val="00415E8F"/>
    <w:rsid w:val="00417168"/>
    <w:rsid w:val="004214CE"/>
    <w:rsid w:val="00421DD4"/>
    <w:rsid w:val="00422E60"/>
    <w:rsid w:val="00425CB0"/>
    <w:rsid w:val="004278C7"/>
    <w:rsid w:val="00430131"/>
    <w:rsid w:val="00430510"/>
    <w:rsid w:val="004306A1"/>
    <w:rsid w:val="004342AE"/>
    <w:rsid w:val="004342D9"/>
    <w:rsid w:val="00436AEC"/>
    <w:rsid w:val="0043741B"/>
    <w:rsid w:val="00437C4B"/>
    <w:rsid w:val="00441744"/>
    <w:rsid w:val="00443D28"/>
    <w:rsid w:val="00445BB8"/>
    <w:rsid w:val="00454707"/>
    <w:rsid w:val="004551B5"/>
    <w:rsid w:val="004563EC"/>
    <w:rsid w:val="004603CA"/>
    <w:rsid w:val="0046115B"/>
    <w:rsid w:val="00461F7F"/>
    <w:rsid w:val="004655A6"/>
    <w:rsid w:val="0046722E"/>
    <w:rsid w:val="00471F37"/>
    <w:rsid w:val="0047574E"/>
    <w:rsid w:val="004760BA"/>
    <w:rsid w:val="00483AC2"/>
    <w:rsid w:val="00483E52"/>
    <w:rsid w:val="00485056"/>
    <w:rsid w:val="004907BA"/>
    <w:rsid w:val="00491D29"/>
    <w:rsid w:val="00493A2D"/>
    <w:rsid w:val="00495E83"/>
    <w:rsid w:val="004A2658"/>
    <w:rsid w:val="004A3F67"/>
    <w:rsid w:val="004A6D9E"/>
    <w:rsid w:val="004A758D"/>
    <w:rsid w:val="004B5468"/>
    <w:rsid w:val="004B5892"/>
    <w:rsid w:val="004B5952"/>
    <w:rsid w:val="004B762E"/>
    <w:rsid w:val="004C16AE"/>
    <w:rsid w:val="004C27BB"/>
    <w:rsid w:val="004C4706"/>
    <w:rsid w:val="004C5EBD"/>
    <w:rsid w:val="004C6131"/>
    <w:rsid w:val="004C64A8"/>
    <w:rsid w:val="004D198D"/>
    <w:rsid w:val="004D2B16"/>
    <w:rsid w:val="004D30CA"/>
    <w:rsid w:val="004D4455"/>
    <w:rsid w:val="004E0C8F"/>
    <w:rsid w:val="004E11BB"/>
    <w:rsid w:val="004E32BD"/>
    <w:rsid w:val="004E4C7A"/>
    <w:rsid w:val="004E6409"/>
    <w:rsid w:val="004F04F7"/>
    <w:rsid w:val="004F48E6"/>
    <w:rsid w:val="004F59D8"/>
    <w:rsid w:val="004F791F"/>
    <w:rsid w:val="0050084B"/>
    <w:rsid w:val="00510E7C"/>
    <w:rsid w:val="005119BF"/>
    <w:rsid w:val="00511E95"/>
    <w:rsid w:val="00512EEE"/>
    <w:rsid w:val="0051474C"/>
    <w:rsid w:val="00515CB1"/>
    <w:rsid w:val="00517C9C"/>
    <w:rsid w:val="00541B7E"/>
    <w:rsid w:val="00545455"/>
    <w:rsid w:val="005479F5"/>
    <w:rsid w:val="00547BFE"/>
    <w:rsid w:val="0055037E"/>
    <w:rsid w:val="00551762"/>
    <w:rsid w:val="0055711E"/>
    <w:rsid w:val="005625B1"/>
    <w:rsid w:val="00562BFA"/>
    <w:rsid w:val="0056340B"/>
    <w:rsid w:val="00564298"/>
    <w:rsid w:val="0056550B"/>
    <w:rsid w:val="00567330"/>
    <w:rsid w:val="0057250D"/>
    <w:rsid w:val="00572A2D"/>
    <w:rsid w:val="005746CF"/>
    <w:rsid w:val="00580A0F"/>
    <w:rsid w:val="00582A29"/>
    <w:rsid w:val="00596A8B"/>
    <w:rsid w:val="005A20D2"/>
    <w:rsid w:val="005A3731"/>
    <w:rsid w:val="005B13F7"/>
    <w:rsid w:val="005B2636"/>
    <w:rsid w:val="005B4B49"/>
    <w:rsid w:val="005B7576"/>
    <w:rsid w:val="005C1C1D"/>
    <w:rsid w:val="005D21A8"/>
    <w:rsid w:val="005D3768"/>
    <w:rsid w:val="005D4D90"/>
    <w:rsid w:val="005D6CE1"/>
    <w:rsid w:val="005E1281"/>
    <w:rsid w:val="005E17C3"/>
    <w:rsid w:val="005E3BE4"/>
    <w:rsid w:val="005E5823"/>
    <w:rsid w:val="005F0264"/>
    <w:rsid w:val="005F097C"/>
    <w:rsid w:val="005F5C0A"/>
    <w:rsid w:val="005F7421"/>
    <w:rsid w:val="005F760F"/>
    <w:rsid w:val="00603779"/>
    <w:rsid w:val="00604FE0"/>
    <w:rsid w:val="00605ED0"/>
    <w:rsid w:val="00620568"/>
    <w:rsid w:val="00624C8A"/>
    <w:rsid w:val="006264CB"/>
    <w:rsid w:val="00632301"/>
    <w:rsid w:val="00635C04"/>
    <w:rsid w:val="00636440"/>
    <w:rsid w:val="00644737"/>
    <w:rsid w:val="00644EE5"/>
    <w:rsid w:val="0065379E"/>
    <w:rsid w:val="00657BF4"/>
    <w:rsid w:val="006627D7"/>
    <w:rsid w:val="00664736"/>
    <w:rsid w:val="006664D9"/>
    <w:rsid w:val="006722C6"/>
    <w:rsid w:val="006769E9"/>
    <w:rsid w:val="0067713B"/>
    <w:rsid w:val="00681328"/>
    <w:rsid w:val="00685D06"/>
    <w:rsid w:val="00685FFE"/>
    <w:rsid w:val="00686BF7"/>
    <w:rsid w:val="00690F9C"/>
    <w:rsid w:val="00692D42"/>
    <w:rsid w:val="00692FBA"/>
    <w:rsid w:val="006A1690"/>
    <w:rsid w:val="006A3853"/>
    <w:rsid w:val="006B4BE6"/>
    <w:rsid w:val="006C0132"/>
    <w:rsid w:val="006C0BD0"/>
    <w:rsid w:val="006C2002"/>
    <w:rsid w:val="006C2572"/>
    <w:rsid w:val="006D15F6"/>
    <w:rsid w:val="006D39C0"/>
    <w:rsid w:val="006D5D12"/>
    <w:rsid w:val="006D6DB2"/>
    <w:rsid w:val="006E0054"/>
    <w:rsid w:val="006E095E"/>
    <w:rsid w:val="006E3306"/>
    <w:rsid w:val="006E3AAB"/>
    <w:rsid w:val="006E43C9"/>
    <w:rsid w:val="006E4C41"/>
    <w:rsid w:val="006F7DDF"/>
    <w:rsid w:val="007001D5"/>
    <w:rsid w:val="00701FDB"/>
    <w:rsid w:val="00705731"/>
    <w:rsid w:val="00711D11"/>
    <w:rsid w:val="00713603"/>
    <w:rsid w:val="00716A6C"/>
    <w:rsid w:val="0072117D"/>
    <w:rsid w:val="007216C2"/>
    <w:rsid w:val="00724A39"/>
    <w:rsid w:val="00724DE6"/>
    <w:rsid w:val="007262FE"/>
    <w:rsid w:val="007277BC"/>
    <w:rsid w:val="00730A07"/>
    <w:rsid w:val="007310E2"/>
    <w:rsid w:val="00732C6A"/>
    <w:rsid w:val="007330C8"/>
    <w:rsid w:val="00736371"/>
    <w:rsid w:val="00736BDA"/>
    <w:rsid w:val="007404B2"/>
    <w:rsid w:val="00744B83"/>
    <w:rsid w:val="00745E0C"/>
    <w:rsid w:val="007502BD"/>
    <w:rsid w:val="00753E3B"/>
    <w:rsid w:val="007562BC"/>
    <w:rsid w:val="0075671E"/>
    <w:rsid w:val="007603AF"/>
    <w:rsid w:val="00767873"/>
    <w:rsid w:val="007678E1"/>
    <w:rsid w:val="00773B46"/>
    <w:rsid w:val="007757F8"/>
    <w:rsid w:val="00776EC9"/>
    <w:rsid w:val="00780E8F"/>
    <w:rsid w:val="0078592E"/>
    <w:rsid w:val="007859F6"/>
    <w:rsid w:val="00787588"/>
    <w:rsid w:val="0079436E"/>
    <w:rsid w:val="007A7B34"/>
    <w:rsid w:val="007A7BD7"/>
    <w:rsid w:val="007C1246"/>
    <w:rsid w:val="007C45C9"/>
    <w:rsid w:val="007C5D41"/>
    <w:rsid w:val="007C741F"/>
    <w:rsid w:val="007C7B59"/>
    <w:rsid w:val="007D49C0"/>
    <w:rsid w:val="007D5F2E"/>
    <w:rsid w:val="007D61E4"/>
    <w:rsid w:val="007D6F0C"/>
    <w:rsid w:val="007E032D"/>
    <w:rsid w:val="007F0FA5"/>
    <w:rsid w:val="007F296F"/>
    <w:rsid w:val="007F2F26"/>
    <w:rsid w:val="007F53A9"/>
    <w:rsid w:val="007F70D7"/>
    <w:rsid w:val="00800198"/>
    <w:rsid w:val="00801BAB"/>
    <w:rsid w:val="00816382"/>
    <w:rsid w:val="00816A57"/>
    <w:rsid w:val="00827980"/>
    <w:rsid w:val="00832500"/>
    <w:rsid w:val="00834706"/>
    <w:rsid w:val="0083486A"/>
    <w:rsid w:val="0083680C"/>
    <w:rsid w:val="00837B27"/>
    <w:rsid w:val="008408E5"/>
    <w:rsid w:val="0084127C"/>
    <w:rsid w:val="008419C9"/>
    <w:rsid w:val="00842173"/>
    <w:rsid w:val="00843550"/>
    <w:rsid w:val="0084447A"/>
    <w:rsid w:val="008463FE"/>
    <w:rsid w:val="00854C42"/>
    <w:rsid w:val="0085705E"/>
    <w:rsid w:val="00860327"/>
    <w:rsid w:val="00863CB2"/>
    <w:rsid w:val="00864152"/>
    <w:rsid w:val="0086450C"/>
    <w:rsid w:val="0086466C"/>
    <w:rsid w:val="0086624C"/>
    <w:rsid w:val="00866F50"/>
    <w:rsid w:val="008702FB"/>
    <w:rsid w:val="00870A1E"/>
    <w:rsid w:val="008719EF"/>
    <w:rsid w:val="00872CDB"/>
    <w:rsid w:val="008775F4"/>
    <w:rsid w:val="00877BB2"/>
    <w:rsid w:val="00884006"/>
    <w:rsid w:val="0088448A"/>
    <w:rsid w:val="008A172B"/>
    <w:rsid w:val="008A3EED"/>
    <w:rsid w:val="008A465B"/>
    <w:rsid w:val="008A4B8D"/>
    <w:rsid w:val="008A4DF4"/>
    <w:rsid w:val="008A7186"/>
    <w:rsid w:val="008A73EB"/>
    <w:rsid w:val="008B0967"/>
    <w:rsid w:val="008B0E31"/>
    <w:rsid w:val="008B113D"/>
    <w:rsid w:val="008B2457"/>
    <w:rsid w:val="008B3125"/>
    <w:rsid w:val="008C4F7A"/>
    <w:rsid w:val="008D1663"/>
    <w:rsid w:val="008D7CB2"/>
    <w:rsid w:val="008E159A"/>
    <w:rsid w:val="008E7913"/>
    <w:rsid w:val="008F320C"/>
    <w:rsid w:val="008F3330"/>
    <w:rsid w:val="008F4654"/>
    <w:rsid w:val="008F5B36"/>
    <w:rsid w:val="00900A79"/>
    <w:rsid w:val="009020F2"/>
    <w:rsid w:val="0090267E"/>
    <w:rsid w:val="00905C54"/>
    <w:rsid w:val="00910A84"/>
    <w:rsid w:val="00911F6A"/>
    <w:rsid w:val="00912A7B"/>
    <w:rsid w:val="00912AC2"/>
    <w:rsid w:val="0091603A"/>
    <w:rsid w:val="00931AF3"/>
    <w:rsid w:val="00941618"/>
    <w:rsid w:val="009423F2"/>
    <w:rsid w:val="009433FD"/>
    <w:rsid w:val="00946964"/>
    <w:rsid w:val="00954F80"/>
    <w:rsid w:val="00955E01"/>
    <w:rsid w:val="0095726D"/>
    <w:rsid w:val="00961D3F"/>
    <w:rsid w:val="00966DD8"/>
    <w:rsid w:val="009758E4"/>
    <w:rsid w:val="00976E31"/>
    <w:rsid w:val="00980F42"/>
    <w:rsid w:val="009811E5"/>
    <w:rsid w:val="009820F1"/>
    <w:rsid w:val="0098234B"/>
    <w:rsid w:val="00983EB8"/>
    <w:rsid w:val="009862B4"/>
    <w:rsid w:val="00986534"/>
    <w:rsid w:val="00997172"/>
    <w:rsid w:val="009A10BC"/>
    <w:rsid w:val="009A296E"/>
    <w:rsid w:val="009A2D29"/>
    <w:rsid w:val="009A2DD1"/>
    <w:rsid w:val="009A402F"/>
    <w:rsid w:val="009A44E0"/>
    <w:rsid w:val="009A7F9A"/>
    <w:rsid w:val="009C1CD1"/>
    <w:rsid w:val="009C241A"/>
    <w:rsid w:val="009C4A9F"/>
    <w:rsid w:val="009D2C72"/>
    <w:rsid w:val="009E2A62"/>
    <w:rsid w:val="009F2054"/>
    <w:rsid w:val="009F3053"/>
    <w:rsid w:val="009F4AA3"/>
    <w:rsid w:val="009F4F09"/>
    <w:rsid w:val="009F7E00"/>
    <w:rsid w:val="00A004FF"/>
    <w:rsid w:val="00A00D56"/>
    <w:rsid w:val="00A02386"/>
    <w:rsid w:val="00A038B7"/>
    <w:rsid w:val="00A067B7"/>
    <w:rsid w:val="00A072E0"/>
    <w:rsid w:val="00A07B3D"/>
    <w:rsid w:val="00A12115"/>
    <w:rsid w:val="00A2041C"/>
    <w:rsid w:val="00A218DF"/>
    <w:rsid w:val="00A2240B"/>
    <w:rsid w:val="00A24306"/>
    <w:rsid w:val="00A24519"/>
    <w:rsid w:val="00A27A5B"/>
    <w:rsid w:val="00A27CF4"/>
    <w:rsid w:val="00A40C50"/>
    <w:rsid w:val="00A57594"/>
    <w:rsid w:val="00A604B7"/>
    <w:rsid w:val="00A61752"/>
    <w:rsid w:val="00A61FD7"/>
    <w:rsid w:val="00A74B78"/>
    <w:rsid w:val="00A801AA"/>
    <w:rsid w:val="00A80BE9"/>
    <w:rsid w:val="00A93521"/>
    <w:rsid w:val="00A94EB3"/>
    <w:rsid w:val="00A9508B"/>
    <w:rsid w:val="00A969BA"/>
    <w:rsid w:val="00AA03B7"/>
    <w:rsid w:val="00AA3FD0"/>
    <w:rsid w:val="00AA7FDE"/>
    <w:rsid w:val="00AB45BE"/>
    <w:rsid w:val="00AB6DF2"/>
    <w:rsid w:val="00AC34E1"/>
    <w:rsid w:val="00AC3584"/>
    <w:rsid w:val="00AC521D"/>
    <w:rsid w:val="00AC6301"/>
    <w:rsid w:val="00AC6B03"/>
    <w:rsid w:val="00AD5924"/>
    <w:rsid w:val="00AD7699"/>
    <w:rsid w:val="00AE0953"/>
    <w:rsid w:val="00AE162F"/>
    <w:rsid w:val="00AE55D5"/>
    <w:rsid w:val="00AF3690"/>
    <w:rsid w:val="00AF413E"/>
    <w:rsid w:val="00B01A4C"/>
    <w:rsid w:val="00B06D06"/>
    <w:rsid w:val="00B112A1"/>
    <w:rsid w:val="00B114E9"/>
    <w:rsid w:val="00B12D53"/>
    <w:rsid w:val="00B12D5C"/>
    <w:rsid w:val="00B1462C"/>
    <w:rsid w:val="00B170BB"/>
    <w:rsid w:val="00B21D33"/>
    <w:rsid w:val="00B24D04"/>
    <w:rsid w:val="00B31EE8"/>
    <w:rsid w:val="00B320B1"/>
    <w:rsid w:val="00B33D7D"/>
    <w:rsid w:val="00B40E6B"/>
    <w:rsid w:val="00B4347D"/>
    <w:rsid w:val="00B4482E"/>
    <w:rsid w:val="00B44CA8"/>
    <w:rsid w:val="00B456E0"/>
    <w:rsid w:val="00B457CD"/>
    <w:rsid w:val="00B53F64"/>
    <w:rsid w:val="00B54A81"/>
    <w:rsid w:val="00B625E0"/>
    <w:rsid w:val="00B66049"/>
    <w:rsid w:val="00B733DA"/>
    <w:rsid w:val="00B76056"/>
    <w:rsid w:val="00B81D1D"/>
    <w:rsid w:val="00B87950"/>
    <w:rsid w:val="00B914B0"/>
    <w:rsid w:val="00B916A1"/>
    <w:rsid w:val="00B92743"/>
    <w:rsid w:val="00BA06CA"/>
    <w:rsid w:val="00BA3A8A"/>
    <w:rsid w:val="00BA4D70"/>
    <w:rsid w:val="00BA588F"/>
    <w:rsid w:val="00BA7A2C"/>
    <w:rsid w:val="00BB0501"/>
    <w:rsid w:val="00BB1A6C"/>
    <w:rsid w:val="00BB2032"/>
    <w:rsid w:val="00BC021A"/>
    <w:rsid w:val="00BC1612"/>
    <w:rsid w:val="00BC33FC"/>
    <w:rsid w:val="00BC4D9A"/>
    <w:rsid w:val="00BC6313"/>
    <w:rsid w:val="00BD050D"/>
    <w:rsid w:val="00BD0FE2"/>
    <w:rsid w:val="00BD17F2"/>
    <w:rsid w:val="00BD3920"/>
    <w:rsid w:val="00BD3C8E"/>
    <w:rsid w:val="00BD717D"/>
    <w:rsid w:val="00BD7964"/>
    <w:rsid w:val="00BF01AB"/>
    <w:rsid w:val="00BF1448"/>
    <w:rsid w:val="00BF1CE2"/>
    <w:rsid w:val="00BF3A89"/>
    <w:rsid w:val="00BF5A3F"/>
    <w:rsid w:val="00C0310E"/>
    <w:rsid w:val="00C1507C"/>
    <w:rsid w:val="00C17207"/>
    <w:rsid w:val="00C21041"/>
    <w:rsid w:val="00C3576F"/>
    <w:rsid w:val="00C36B73"/>
    <w:rsid w:val="00C451FC"/>
    <w:rsid w:val="00C454CD"/>
    <w:rsid w:val="00C500F4"/>
    <w:rsid w:val="00C5324C"/>
    <w:rsid w:val="00C53421"/>
    <w:rsid w:val="00C64D9D"/>
    <w:rsid w:val="00C67AC2"/>
    <w:rsid w:val="00C73C19"/>
    <w:rsid w:val="00C73F75"/>
    <w:rsid w:val="00C75D92"/>
    <w:rsid w:val="00C8080F"/>
    <w:rsid w:val="00C8123A"/>
    <w:rsid w:val="00C93879"/>
    <w:rsid w:val="00C94EA1"/>
    <w:rsid w:val="00C965E5"/>
    <w:rsid w:val="00C97F5F"/>
    <w:rsid w:val="00CA057B"/>
    <w:rsid w:val="00CA40E4"/>
    <w:rsid w:val="00CA7614"/>
    <w:rsid w:val="00CB1022"/>
    <w:rsid w:val="00CB1C3E"/>
    <w:rsid w:val="00CB43AE"/>
    <w:rsid w:val="00CB4C09"/>
    <w:rsid w:val="00CB63F7"/>
    <w:rsid w:val="00CB689A"/>
    <w:rsid w:val="00CB74A9"/>
    <w:rsid w:val="00CB7D50"/>
    <w:rsid w:val="00CC0454"/>
    <w:rsid w:val="00CC224D"/>
    <w:rsid w:val="00CD1FEA"/>
    <w:rsid w:val="00CD25CE"/>
    <w:rsid w:val="00CD2F9E"/>
    <w:rsid w:val="00CD6C58"/>
    <w:rsid w:val="00CD7756"/>
    <w:rsid w:val="00CE22D0"/>
    <w:rsid w:val="00CF480D"/>
    <w:rsid w:val="00CF6E38"/>
    <w:rsid w:val="00CF7271"/>
    <w:rsid w:val="00CF7E31"/>
    <w:rsid w:val="00D0126D"/>
    <w:rsid w:val="00D03CBF"/>
    <w:rsid w:val="00D11DE4"/>
    <w:rsid w:val="00D1480F"/>
    <w:rsid w:val="00D16722"/>
    <w:rsid w:val="00D17B22"/>
    <w:rsid w:val="00D25990"/>
    <w:rsid w:val="00D30EA5"/>
    <w:rsid w:val="00D31FF3"/>
    <w:rsid w:val="00D40695"/>
    <w:rsid w:val="00D4093F"/>
    <w:rsid w:val="00D41DF3"/>
    <w:rsid w:val="00D437EA"/>
    <w:rsid w:val="00D4784D"/>
    <w:rsid w:val="00D52BD7"/>
    <w:rsid w:val="00D53AD9"/>
    <w:rsid w:val="00D53B00"/>
    <w:rsid w:val="00D53C58"/>
    <w:rsid w:val="00D578A5"/>
    <w:rsid w:val="00D6370A"/>
    <w:rsid w:val="00D63731"/>
    <w:rsid w:val="00D65BB8"/>
    <w:rsid w:val="00D71EEE"/>
    <w:rsid w:val="00D73DA2"/>
    <w:rsid w:val="00D7645F"/>
    <w:rsid w:val="00D76E7E"/>
    <w:rsid w:val="00D7793E"/>
    <w:rsid w:val="00D80F06"/>
    <w:rsid w:val="00D81602"/>
    <w:rsid w:val="00D82CE6"/>
    <w:rsid w:val="00D8350F"/>
    <w:rsid w:val="00D91C97"/>
    <w:rsid w:val="00D94090"/>
    <w:rsid w:val="00D9461F"/>
    <w:rsid w:val="00D94C89"/>
    <w:rsid w:val="00D95D8E"/>
    <w:rsid w:val="00D97B3F"/>
    <w:rsid w:val="00DA0AD1"/>
    <w:rsid w:val="00DA2360"/>
    <w:rsid w:val="00DA2F2C"/>
    <w:rsid w:val="00DA34F3"/>
    <w:rsid w:val="00DA6E30"/>
    <w:rsid w:val="00DA794D"/>
    <w:rsid w:val="00DB2A45"/>
    <w:rsid w:val="00DC6E79"/>
    <w:rsid w:val="00DD4A55"/>
    <w:rsid w:val="00DD6897"/>
    <w:rsid w:val="00DE072E"/>
    <w:rsid w:val="00DE3333"/>
    <w:rsid w:val="00DE3EC2"/>
    <w:rsid w:val="00DE4281"/>
    <w:rsid w:val="00DE62AE"/>
    <w:rsid w:val="00DF36AA"/>
    <w:rsid w:val="00DF5806"/>
    <w:rsid w:val="00E00695"/>
    <w:rsid w:val="00E00FE6"/>
    <w:rsid w:val="00E0287E"/>
    <w:rsid w:val="00E0338B"/>
    <w:rsid w:val="00E0452B"/>
    <w:rsid w:val="00E05C93"/>
    <w:rsid w:val="00E05FA7"/>
    <w:rsid w:val="00E10DA8"/>
    <w:rsid w:val="00E10E08"/>
    <w:rsid w:val="00E1286E"/>
    <w:rsid w:val="00E1364C"/>
    <w:rsid w:val="00E14433"/>
    <w:rsid w:val="00E17065"/>
    <w:rsid w:val="00E21180"/>
    <w:rsid w:val="00E2182F"/>
    <w:rsid w:val="00E21FCC"/>
    <w:rsid w:val="00E30E26"/>
    <w:rsid w:val="00E3457C"/>
    <w:rsid w:val="00E3579B"/>
    <w:rsid w:val="00E37B75"/>
    <w:rsid w:val="00E43BA2"/>
    <w:rsid w:val="00E44CAE"/>
    <w:rsid w:val="00E47E47"/>
    <w:rsid w:val="00E52B2E"/>
    <w:rsid w:val="00E60A25"/>
    <w:rsid w:val="00E6261C"/>
    <w:rsid w:val="00E6745F"/>
    <w:rsid w:val="00E711F6"/>
    <w:rsid w:val="00E73019"/>
    <w:rsid w:val="00E74C30"/>
    <w:rsid w:val="00E76642"/>
    <w:rsid w:val="00E83581"/>
    <w:rsid w:val="00E87F0B"/>
    <w:rsid w:val="00E94721"/>
    <w:rsid w:val="00E95582"/>
    <w:rsid w:val="00EA00A7"/>
    <w:rsid w:val="00EA0F32"/>
    <w:rsid w:val="00EA1392"/>
    <w:rsid w:val="00EA284A"/>
    <w:rsid w:val="00EA5758"/>
    <w:rsid w:val="00EA618D"/>
    <w:rsid w:val="00EA660E"/>
    <w:rsid w:val="00EB1EDD"/>
    <w:rsid w:val="00EB1EE4"/>
    <w:rsid w:val="00EB278A"/>
    <w:rsid w:val="00EB390A"/>
    <w:rsid w:val="00EB5DB9"/>
    <w:rsid w:val="00EC3738"/>
    <w:rsid w:val="00EC638D"/>
    <w:rsid w:val="00EC6D9E"/>
    <w:rsid w:val="00EC7259"/>
    <w:rsid w:val="00ED0CF1"/>
    <w:rsid w:val="00ED218E"/>
    <w:rsid w:val="00ED5BA6"/>
    <w:rsid w:val="00EE083F"/>
    <w:rsid w:val="00EE0BD3"/>
    <w:rsid w:val="00EE3EB9"/>
    <w:rsid w:val="00EF276B"/>
    <w:rsid w:val="00EF6BF9"/>
    <w:rsid w:val="00EF7914"/>
    <w:rsid w:val="00EF79E0"/>
    <w:rsid w:val="00F01508"/>
    <w:rsid w:val="00F07354"/>
    <w:rsid w:val="00F11B77"/>
    <w:rsid w:val="00F1270D"/>
    <w:rsid w:val="00F1562A"/>
    <w:rsid w:val="00F156D6"/>
    <w:rsid w:val="00F16780"/>
    <w:rsid w:val="00F204DA"/>
    <w:rsid w:val="00F22CD8"/>
    <w:rsid w:val="00F2407A"/>
    <w:rsid w:val="00F27516"/>
    <w:rsid w:val="00F304F0"/>
    <w:rsid w:val="00F31E16"/>
    <w:rsid w:val="00F348EF"/>
    <w:rsid w:val="00F34DC6"/>
    <w:rsid w:val="00F3678E"/>
    <w:rsid w:val="00F4254E"/>
    <w:rsid w:val="00F42D04"/>
    <w:rsid w:val="00F4478E"/>
    <w:rsid w:val="00F44EDE"/>
    <w:rsid w:val="00F44F78"/>
    <w:rsid w:val="00F45356"/>
    <w:rsid w:val="00F4742C"/>
    <w:rsid w:val="00F47AEA"/>
    <w:rsid w:val="00F5053B"/>
    <w:rsid w:val="00F53849"/>
    <w:rsid w:val="00F564F8"/>
    <w:rsid w:val="00F575F6"/>
    <w:rsid w:val="00F640CB"/>
    <w:rsid w:val="00F6772D"/>
    <w:rsid w:val="00F72121"/>
    <w:rsid w:val="00F752C9"/>
    <w:rsid w:val="00F75702"/>
    <w:rsid w:val="00F77D1E"/>
    <w:rsid w:val="00F905F6"/>
    <w:rsid w:val="00F917F3"/>
    <w:rsid w:val="00F92549"/>
    <w:rsid w:val="00FA3359"/>
    <w:rsid w:val="00FA4750"/>
    <w:rsid w:val="00FB0D0D"/>
    <w:rsid w:val="00FB3A12"/>
    <w:rsid w:val="00FB5138"/>
    <w:rsid w:val="00FC3FA1"/>
    <w:rsid w:val="00FD1944"/>
    <w:rsid w:val="00FD3019"/>
    <w:rsid w:val="00FD35F6"/>
    <w:rsid w:val="00FD488E"/>
    <w:rsid w:val="00FD74BD"/>
    <w:rsid w:val="00FD7E61"/>
    <w:rsid w:val="00FE3369"/>
    <w:rsid w:val="00FE4941"/>
    <w:rsid w:val="00FF1FF9"/>
    <w:rsid w:val="00FF5F95"/>
    <w:rsid w:val="00FF775D"/>
    <w:rsid w:val="00FF77A7"/>
    <w:rsid w:val="018652FD"/>
    <w:rsid w:val="02F804FC"/>
    <w:rsid w:val="0346496E"/>
    <w:rsid w:val="046A116A"/>
    <w:rsid w:val="04897139"/>
    <w:rsid w:val="0530201D"/>
    <w:rsid w:val="06364446"/>
    <w:rsid w:val="06CC1A19"/>
    <w:rsid w:val="094362CF"/>
    <w:rsid w:val="09512A7C"/>
    <w:rsid w:val="09B33B11"/>
    <w:rsid w:val="0A8A3D56"/>
    <w:rsid w:val="0E5C0D62"/>
    <w:rsid w:val="0EF810C4"/>
    <w:rsid w:val="0F296691"/>
    <w:rsid w:val="0F605360"/>
    <w:rsid w:val="0FA76372"/>
    <w:rsid w:val="10162F64"/>
    <w:rsid w:val="115F32FD"/>
    <w:rsid w:val="131F1505"/>
    <w:rsid w:val="13C34EFB"/>
    <w:rsid w:val="14047D1F"/>
    <w:rsid w:val="19613133"/>
    <w:rsid w:val="1A080304"/>
    <w:rsid w:val="1B971179"/>
    <w:rsid w:val="1BB256CF"/>
    <w:rsid w:val="1BEA432A"/>
    <w:rsid w:val="1CD5054D"/>
    <w:rsid w:val="1D7330FC"/>
    <w:rsid w:val="1DAB1A35"/>
    <w:rsid w:val="1E03249B"/>
    <w:rsid w:val="1EF13E30"/>
    <w:rsid w:val="1F3A78F1"/>
    <w:rsid w:val="1F903BA2"/>
    <w:rsid w:val="21DF28F1"/>
    <w:rsid w:val="21E3027D"/>
    <w:rsid w:val="22C04544"/>
    <w:rsid w:val="22C338B9"/>
    <w:rsid w:val="23596C92"/>
    <w:rsid w:val="23B93344"/>
    <w:rsid w:val="23C03BB3"/>
    <w:rsid w:val="24BB2FAF"/>
    <w:rsid w:val="250C53BE"/>
    <w:rsid w:val="25981321"/>
    <w:rsid w:val="26C41CED"/>
    <w:rsid w:val="27480727"/>
    <w:rsid w:val="28526EDE"/>
    <w:rsid w:val="28C238E5"/>
    <w:rsid w:val="35AD3B89"/>
    <w:rsid w:val="35FE4D53"/>
    <w:rsid w:val="3608054F"/>
    <w:rsid w:val="36EC366C"/>
    <w:rsid w:val="380E556B"/>
    <w:rsid w:val="38181EDF"/>
    <w:rsid w:val="3AA846CD"/>
    <w:rsid w:val="3CB32CC2"/>
    <w:rsid w:val="3D8C20E8"/>
    <w:rsid w:val="40120E67"/>
    <w:rsid w:val="42B64527"/>
    <w:rsid w:val="45527B5D"/>
    <w:rsid w:val="45BA677D"/>
    <w:rsid w:val="45C80D91"/>
    <w:rsid w:val="46A31FB1"/>
    <w:rsid w:val="479665C5"/>
    <w:rsid w:val="480A755F"/>
    <w:rsid w:val="482E6DF5"/>
    <w:rsid w:val="484444BC"/>
    <w:rsid w:val="49645BBB"/>
    <w:rsid w:val="4A071766"/>
    <w:rsid w:val="4A3F416B"/>
    <w:rsid w:val="4D0D2568"/>
    <w:rsid w:val="4E960F27"/>
    <w:rsid w:val="515B39AF"/>
    <w:rsid w:val="519E4085"/>
    <w:rsid w:val="51D77C81"/>
    <w:rsid w:val="55333434"/>
    <w:rsid w:val="558A07EF"/>
    <w:rsid w:val="574D77D1"/>
    <w:rsid w:val="580334A8"/>
    <w:rsid w:val="5843329F"/>
    <w:rsid w:val="590457B2"/>
    <w:rsid w:val="59304E29"/>
    <w:rsid w:val="59D42746"/>
    <w:rsid w:val="5A4360AD"/>
    <w:rsid w:val="5C9A681F"/>
    <w:rsid w:val="5D011918"/>
    <w:rsid w:val="5D5A48B5"/>
    <w:rsid w:val="5DC83763"/>
    <w:rsid w:val="5E082FA7"/>
    <w:rsid w:val="5E4B2A6E"/>
    <w:rsid w:val="5FDB1089"/>
    <w:rsid w:val="607B3827"/>
    <w:rsid w:val="61080D16"/>
    <w:rsid w:val="611238FA"/>
    <w:rsid w:val="62557D2F"/>
    <w:rsid w:val="625B4FE0"/>
    <w:rsid w:val="650D7873"/>
    <w:rsid w:val="66AC6264"/>
    <w:rsid w:val="67156ACE"/>
    <w:rsid w:val="675A35E5"/>
    <w:rsid w:val="67AF3924"/>
    <w:rsid w:val="68841530"/>
    <w:rsid w:val="68BA7285"/>
    <w:rsid w:val="6B797031"/>
    <w:rsid w:val="6CBE6B57"/>
    <w:rsid w:val="6D3A3657"/>
    <w:rsid w:val="6DB57E46"/>
    <w:rsid w:val="6E8119F9"/>
    <w:rsid w:val="6F6B5A83"/>
    <w:rsid w:val="6FDF401B"/>
    <w:rsid w:val="7177712C"/>
    <w:rsid w:val="71813920"/>
    <w:rsid w:val="72C862E5"/>
    <w:rsid w:val="751A5509"/>
    <w:rsid w:val="75796180"/>
    <w:rsid w:val="77847019"/>
    <w:rsid w:val="77D80D4A"/>
    <w:rsid w:val="77DA54F0"/>
    <w:rsid w:val="7C5E39E3"/>
    <w:rsid w:val="7D5B31FF"/>
    <w:rsid w:val="7F155FE1"/>
    <w:rsid w:val="7F6A58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99"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6"/>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4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7"/>
    <w:unhideWhenUsed/>
    <w:qFormat/>
    <w:uiPriority w:val="9"/>
    <w:pPr>
      <w:keepNext/>
      <w:keepLines/>
      <w:spacing w:before="260" w:after="260" w:line="416" w:lineRule="auto"/>
      <w:outlineLvl w:val="2"/>
    </w:pPr>
    <w:rPr>
      <w:b/>
      <w:bCs/>
      <w:sz w:val="32"/>
      <w:szCs w:val="32"/>
    </w:rPr>
  </w:style>
  <w:style w:type="paragraph" w:styleId="6">
    <w:name w:val="heading 4"/>
    <w:basedOn w:val="1"/>
    <w:next w:val="1"/>
    <w:link w:val="42"/>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1">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pPr>
    <w:rPr>
      <w:szCs w:val="20"/>
    </w:rPr>
  </w:style>
  <w:style w:type="paragraph" w:styleId="7">
    <w:name w:val="annotation text"/>
    <w:basedOn w:val="1"/>
    <w:link w:val="36"/>
    <w:semiHidden/>
    <w:unhideWhenUsed/>
    <w:qFormat/>
    <w:uiPriority w:val="99"/>
    <w:pPr>
      <w:jc w:val="left"/>
    </w:pPr>
  </w:style>
  <w:style w:type="paragraph" w:styleId="8">
    <w:name w:val="Body Text Indent"/>
    <w:basedOn w:val="1"/>
    <w:qFormat/>
    <w:uiPriority w:val="0"/>
    <w:pPr>
      <w:widowControl/>
      <w:spacing w:line="360" w:lineRule="auto"/>
      <w:ind w:firstLine="480" w:firstLineChars="200"/>
    </w:pPr>
    <w:rPr>
      <w:sz w:val="24"/>
    </w:rPr>
  </w:style>
  <w:style w:type="paragraph" w:styleId="9">
    <w:name w:val="toc 3"/>
    <w:basedOn w:val="1"/>
    <w:next w:val="1"/>
    <w:unhideWhenUsed/>
    <w:qFormat/>
    <w:uiPriority w:val="39"/>
    <w:pPr>
      <w:widowControl/>
      <w:spacing w:after="100" w:line="276" w:lineRule="auto"/>
      <w:ind w:left="440"/>
      <w:jc w:val="left"/>
    </w:pPr>
    <w:rPr>
      <w:rFonts w:asciiTheme="minorHAnsi" w:hAnsiTheme="minorHAnsi" w:eastAsiaTheme="minorEastAsia" w:cstheme="minorBidi"/>
      <w:kern w:val="0"/>
      <w:sz w:val="22"/>
      <w:szCs w:val="22"/>
    </w:rPr>
  </w:style>
  <w:style w:type="paragraph" w:styleId="10">
    <w:name w:val="Plain Text"/>
    <w:basedOn w:val="1"/>
    <w:qFormat/>
    <w:uiPriority w:val="0"/>
    <w:rPr>
      <w:rFonts w:ascii="宋体" w:hAnsi="Courier New"/>
      <w:szCs w:val="20"/>
    </w:rPr>
  </w:style>
  <w:style w:type="paragraph" w:styleId="11">
    <w:name w:val="Body Text Indent 2"/>
    <w:basedOn w:val="1"/>
    <w:link w:val="35"/>
    <w:semiHidden/>
    <w:unhideWhenUsed/>
    <w:qFormat/>
    <w:uiPriority w:val="99"/>
    <w:pPr>
      <w:spacing w:after="120" w:line="480" w:lineRule="auto"/>
      <w:ind w:left="420" w:leftChars="200"/>
    </w:pPr>
  </w:style>
  <w:style w:type="paragraph" w:styleId="12">
    <w:name w:val="Balloon Text"/>
    <w:basedOn w:val="1"/>
    <w:link w:val="25"/>
    <w:semiHidden/>
    <w:unhideWhenUsed/>
    <w:qFormat/>
    <w:uiPriority w:val="99"/>
    <w:rPr>
      <w:sz w:val="18"/>
      <w:szCs w:val="18"/>
    </w:rPr>
  </w:style>
  <w:style w:type="paragraph" w:styleId="13">
    <w:name w:val="footer"/>
    <w:basedOn w:val="1"/>
    <w:link w:val="33"/>
    <w:unhideWhenUsed/>
    <w:qFormat/>
    <w:uiPriority w:val="99"/>
    <w:pPr>
      <w:tabs>
        <w:tab w:val="center" w:pos="4153"/>
        <w:tab w:val="right" w:pos="8306"/>
      </w:tabs>
      <w:snapToGrid w:val="0"/>
      <w:jc w:val="left"/>
    </w:pPr>
    <w:rPr>
      <w:sz w:val="18"/>
      <w:szCs w:val="18"/>
    </w:rPr>
  </w:style>
  <w:style w:type="paragraph" w:styleId="14">
    <w:name w:val="header"/>
    <w:basedOn w:val="1"/>
    <w:link w:val="32"/>
    <w:unhideWhenUsed/>
    <w:qFormat/>
    <w:uiPriority w:val="99"/>
    <w:pPr>
      <w:pBdr>
        <w:bottom w:val="single" w:color="auto" w:sz="6" w:space="1"/>
      </w:pBdr>
      <w:tabs>
        <w:tab w:val="center" w:pos="4153"/>
        <w:tab w:val="right" w:pos="8306"/>
      </w:tabs>
      <w:snapToGrid w:val="0"/>
      <w:jc w:val="center"/>
    </w:pPr>
    <w:rPr>
      <w:sz w:val="18"/>
      <w:szCs w:val="18"/>
    </w:rPr>
  </w:style>
  <w:style w:type="paragraph" w:styleId="15">
    <w:name w:val="toc 1"/>
    <w:basedOn w:val="1"/>
    <w:next w:val="1"/>
    <w:unhideWhenUsed/>
    <w:qFormat/>
    <w:uiPriority w:val="39"/>
    <w:pPr>
      <w:widowControl/>
      <w:spacing w:after="100" w:line="276" w:lineRule="auto"/>
      <w:jc w:val="left"/>
    </w:pPr>
    <w:rPr>
      <w:rFonts w:asciiTheme="minorHAnsi" w:hAnsiTheme="minorHAnsi" w:eastAsiaTheme="minorEastAsia" w:cstheme="minorBidi"/>
      <w:kern w:val="0"/>
      <w:sz w:val="22"/>
      <w:szCs w:val="22"/>
    </w:rPr>
  </w:style>
  <w:style w:type="paragraph" w:styleId="16">
    <w:name w:val="Body Text Indent 3"/>
    <w:basedOn w:val="1"/>
    <w:link w:val="29"/>
    <w:qFormat/>
    <w:uiPriority w:val="0"/>
    <w:pPr>
      <w:spacing w:line="336" w:lineRule="auto"/>
      <w:ind w:firstLine="560" w:firstLineChars="200"/>
    </w:pPr>
    <w:rPr>
      <w:rFonts w:ascii="仿宋_GB2312" w:hAnsi="宋体" w:eastAsia="仿宋_GB2312" w:cs="Arial"/>
      <w:kern w:val="0"/>
      <w:sz w:val="28"/>
      <w:szCs w:val="28"/>
    </w:rPr>
  </w:style>
  <w:style w:type="paragraph" w:styleId="17">
    <w:name w:val="toc 2"/>
    <w:basedOn w:val="1"/>
    <w:next w:val="1"/>
    <w:unhideWhenUsed/>
    <w:qFormat/>
    <w:uiPriority w:val="39"/>
    <w:pPr>
      <w:widowControl/>
      <w:spacing w:after="100" w:line="276" w:lineRule="auto"/>
      <w:ind w:left="220"/>
      <w:jc w:val="left"/>
    </w:pPr>
    <w:rPr>
      <w:rFonts w:asciiTheme="minorHAnsi" w:hAnsiTheme="minorHAnsi" w:eastAsiaTheme="minorEastAsia" w:cstheme="minorBidi"/>
      <w:kern w:val="0"/>
      <w:sz w:val="22"/>
      <w:szCs w:val="22"/>
    </w:rPr>
  </w:style>
  <w:style w:type="paragraph" w:styleId="18">
    <w:name w:val="Normal (Web)"/>
    <w:basedOn w:val="1"/>
    <w:unhideWhenUsed/>
    <w:qFormat/>
    <w:uiPriority w:val="99"/>
    <w:pPr>
      <w:widowControl/>
      <w:jc w:val="left"/>
    </w:pPr>
    <w:rPr>
      <w:rFonts w:ascii="inherit" w:hAnsi="inherit" w:cs="宋体"/>
      <w:kern w:val="0"/>
      <w:sz w:val="24"/>
    </w:rPr>
  </w:style>
  <w:style w:type="paragraph" w:styleId="19">
    <w:name w:val="Title"/>
    <w:basedOn w:val="1"/>
    <w:next w:val="1"/>
    <w:link w:val="39"/>
    <w:qFormat/>
    <w:uiPriority w:val="10"/>
    <w:pPr>
      <w:spacing w:before="240" w:after="60"/>
      <w:jc w:val="center"/>
      <w:outlineLvl w:val="0"/>
    </w:pPr>
    <w:rPr>
      <w:rFonts w:asciiTheme="majorHAnsi" w:hAnsiTheme="majorHAnsi" w:cstheme="majorBidi"/>
      <w:b/>
      <w:bCs/>
      <w:sz w:val="32"/>
      <w:szCs w:val="32"/>
    </w:rPr>
  </w:style>
  <w:style w:type="character" w:styleId="22">
    <w:name w:val="Strong"/>
    <w:basedOn w:val="21"/>
    <w:qFormat/>
    <w:uiPriority w:val="22"/>
    <w:rPr>
      <w:b/>
      <w:bCs/>
    </w:rPr>
  </w:style>
  <w:style w:type="character" w:styleId="23">
    <w:name w:val="Hyperlink"/>
    <w:basedOn w:val="21"/>
    <w:qFormat/>
    <w:uiPriority w:val="99"/>
    <w:rPr>
      <w:color w:val="0000FF"/>
      <w:u w:val="single"/>
    </w:rPr>
  </w:style>
  <w:style w:type="character" w:styleId="24">
    <w:name w:val="annotation reference"/>
    <w:basedOn w:val="21"/>
    <w:semiHidden/>
    <w:unhideWhenUsed/>
    <w:qFormat/>
    <w:uiPriority w:val="99"/>
    <w:rPr>
      <w:sz w:val="21"/>
      <w:szCs w:val="21"/>
    </w:rPr>
  </w:style>
  <w:style w:type="character" w:customStyle="1" w:styleId="25">
    <w:name w:val="批注框文本 字符"/>
    <w:basedOn w:val="21"/>
    <w:link w:val="12"/>
    <w:semiHidden/>
    <w:qFormat/>
    <w:uiPriority w:val="99"/>
    <w:rPr>
      <w:rFonts w:ascii="Times New Roman" w:hAnsi="Times New Roman" w:eastAsia="宋体" w:cs="Times New Roman"/>
      <w:sz w:val="18"/>
      <w:szCs w:val="18"/>
    </w:rPr>
  </w:style>
  <w:style w:type="character" w:customStyle="1" w:styleId="26">
    <w:name w:val="标题 1 字符"/>
    <w:basedOn w:val="21"/>
    <w:link w:val="3"/>
    <w:qFormat/>
    <w:uiPriority w:val="0"/>
    <w:rPr>
      <w:rFonts w:ascii="Times New Roman" w:hAnsi="Times New Roman" w:eastAsia="宋体" w:cs="Times New Roman"/>
      <w:b/>
      <w:bCs/>
      <w:kern w:val="44"/>
      <w:sz w:val="44"/>
      <w:szCs w:val="44"/>
    </w:rPr>
  </w:style>
  <w:style w:type="character" w:customStyle="1" w:styleId="27">
    <w:name w:val="正文文本缩进 3 Char"/>
    <w:basedOn w:val="21"/>
    <w:link w:val="28"/>
    <w:qFormat/>
    <w:uiPriority w:val="0"/>
    <w:rPr>
      <w:rFonts w:ascii="Times New Roman" w:hAnsi="Times New Roman" w:eastAsia="宋体" w:cs="Times New Roman"/>
      <w:sz w:val="16"/>
      <w:szCs w:val="16"/>
    </w:rPr>
  </w:style>
  <w:style w:type="paragraph" w:customStyle="1" w:styleId="28">
    <w:name w:val="正文文本缩进 31"/>
    <w:basedOn w:val="1"/>
    <w:link w:val="27"/>
    <w:qFormat/>
    <w:uiPriority w:val="0"/>
    <w:pPr>
      <w:spacing w:line="336" w:lineRule="auto"/>
      <w:ind w:firstLine="560" w:firstLineChars="200"/>
    </w:pPr>
    <w:rPr>
      <w:sz w:val="16"/>
      <w:szCs w:val="16"/>
    </w:rPr>
  </w:style>
  <w:style w:type="character" w:customStyle="1" w:styleId="29">
    <w:name w:val="正文文本缩进 3 字符"/>
    <w:basedOn w:val="21"/>
    <w:link w:val="16"/>
    <w:qFormat/>
    <w:locked/>
    <w:uiPriority w:val="0"/>
    <w:rPr>
      <w:rFonts w:ascii="仿宋_GB2312" w:hAnsi="宋体" w:eastAsia="仿宋_GB2312" w:cs="Arial"/>
      <w:kern w:val="0"/>
      <w:sz w:val="28"/>
      <w:szCs w:val="28"/>
    </w:rPr>
  </w:style>
  <w:style w:type="paragraph" w:customStyle="1" w:styleId="30">
    <w:name w:val="列出段落1"/>
    <w:basedOn w:val="1"/>
    <w:qFormat/>
    <w:uiPriority w:val="0"/>
    <w:pPr>
      <w:ind w:firstLine="420" w:firstLineChars="200"/>
    </w:pPr>
  </w:style>
  <w:style w:type="paragraph" w:customStyle="1" w:styleId="31">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character" w:customStyle="1" w:styleId="32">
    <w:name w:val="页眉 字符"/>
    <w:basedOn w:val="21"/>
    <w:link w:val="14"/>
    <w:qFormat/>
    <w:uiPriority w:val="99"/>
    <w:rPr>
      <w:rFonts w:ascii="Times New Roman" w:hAnsi="Times New Roman" w:eastAsia="宋体" w:cs="Times New Roman"/>
      <w:sz w:val="18"/>
      <w:szCs w:val="18"/>
    </w:rPr>
  </w:style>
  <w:style w:type="character" w:customStyle="1" w:styleId="33">
    <w:name w:val="页脚 字符"/>
    <w:basedOn w:val="21"/>
    <w:link w:val="13"/>
    <w:qFormat/>
    <w:uiPriority w:val="99"/>
    <w:rPr>
      <w:rFonts w:ascii="Times New Roman" w:hAnsi="Times New Roman" w:eastAsia="宋体" w:cs="Times New Roman"/>
      <w:sz w:val="18"/>
      <w:szCs w:val="18"/>
    </w:rPr>
  </w:style>
  <w:style w:type="paragraph" w:styleId="34">
    <w:name w:val="List Paragraph"/>
    <w:basedOn w:val="1"/>
    <w:qFormat/>
    <w:uiPriority w:val="34"/>
    <w:pPr>
      <w:ind w:firstLine="420" w:firstLineChars="200"/>
    </w:pPr>
    <w:rPr>
      <w:rFonts w:asciiTheme="minorHAnsi" w:hAnsiTheme="minorHAnsi" w:eastAsiaTheme="minorEastAsia" w:cstheme="minorBidi"/>
      <w:szCs w:val="22"/>
    </w:rPr>
  </w:style>
  <w:style w:type="character" w:customStyle="1" w:styleId="35">
    <w:name w:val="正文文本缩进 2 字符"/>
    <w:basedOn w:val="21"/>
    <w:link w:val="11"/>
    <w:semiHidden/>
    <w:qFormat/>
    <w:uiPriority w:val="99"/>
    <w:rPr>
      <w:rFonts w:ascii="Times New Roman" w:hAnsi="Times New Roman" w:eastAsia="宋体" w:cs="Times New Roman"/>
      <w:szCs w:val="24"/>
    </w:rPr>
  </w:style>
  <w:style w:type="character" w:customStyle="1" w:styleId="36">
    <w:name w:val="批注文字 字符"/>
    <w:basedOn w:val="21"/>
    <w:link w:val="7"/>
    <w:semiHidden/>
    <w:qFormat/>
    <w:uiPriority w:val="99"/>
    <w:rPr>
      <w:rFonts w:ascii="Times New Roman" w:hAnsi="Times New Roman" w:eastAsia="宋体" w:cs="Times New Roman"/>
      <w:szCs w:val="24"/>
    </w:rPr>
  </w:style>
  <w:style w:type="character" w:customStyle="1" w:styleId="37">
    <w:name w:val="标题 3 字符"/>
    <w:basedOn w:val="21"/>
    <w:link w:val="5"/>
    <w:qFormat/>
    <w:uiPriority w:val="9"/>
    <w:rPr>
      <w:rFonts w:ascii="Times New Roman" w:hAnsi="Times New Roman" w:eastAsia="宋体" w:cs="Times New Roman"/>
      <w:b/>
      <w:bCs/>
      <w:sz w:val="32"/>
      <w:szCs w:val="32"/>
    </w:rPr>
  </w:style>
  <w:style w:type="paragraph" w:styleId="38">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character" w:customStyle="1" w:styleId="39">
    <w:name w:val="标题 字符"/>
    <w:basedOn w:val="21"/>
    <w:link w:val="19"/>
    <w:qFormat/>
    <w:uiPriority w:val="10"/>
    <w:rPr>
      <w:rFonts w:eastAsia="宋体" w:asciiTheme="majorHAnsi" w:hAnsiTheme="majorHAnsi" w:cstheme="majorBidi"/>
      <w:b/>
      <w:bCs/>
      <w:kern w:val="2"/>
      <w:sz w:val="32"/>
      <w:szCs w:val="32"/>
    </w:rPr>
  </w:style>
  <w:style w:type="character" w:customStyle="1" w:styleId="40">
    <w:name w:val="标题 2 字符"/>
    <w:basedOn w:val="21"/>
    <w:link w:val="4"/>
    <w:qFormat/>
    <w:uiPriority w:val="9"/>
    <w:rPr>
      <w:rFonts w:asciiTheme="majorHAnsi" w:hAnsiTheme="majorHAnsi" w:eastAsiaTheme="majorEastAsia" w:cstheme="majorBidi"/>
      <w:b/>
      <w:bCs/>
      <w:kern w:val="2"/>
      <w:sz w:val="32"/>
      <w:szCs w:val="32"/>
    </w:rPr>
  </w:style>
  <w:style w:type="paragraph" w:customStyle="1" w:styleId="41">
    <w:name w:val="TOC 标题1"/>
    <w:basedOn w:val="3"/>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42">
    <w:name w:val="标题 4 字符"/>
    <w:basedOn w:val="21"/>
    <w:link w:val="6"/>
    <w:qFormat/>
    <w:uiPriority w:val="9"/>
    <w:rPr>
      <w:rFonts w:asciiTheme="majorHAnsi" w:hAnsiTheme="majorHAnsi" w:eastAsiaTheme="majorEastAsia" w:cstheme="majorBidi"/>
      <w:b/>
      <w:bCs/>
      <w:kern w:val="2"/>
      <w:sz w:val="28"/>
      <w:szCs w:val="28"/>
    </w:rPr>
  </w:style>
  <w:style w:type="paragraph" w:customStyle="1" w:styleId="43">
    <w:name w:val="修订1"/>
    <w:hidden/>
    <w:unhideWhenUsed/>
    <w:qFormat/>
    <w:uiPriority w:val="99"/>
    <w:rPr>
      <w:rFonts w:ascii="Times New Roman" w:hAnsi="Times New Roman" w:eastAsia="宋体" w:cs="Times New Roman"/>
      <w:kern w:val="2"/>
      <w:sz w:val="21"/>
      <w:szCs w:val="24"/>
      <w:lang w:val="en-US" w:eastAsia="zh-CN" w:bidi="ar-SA"/>
    </w:rPr>
  </w:style>
  <w:style w:type="paragraph" w:customStyle="1" w:styleId="44">
    <w:name w:val="Table Paragraph"/>
    <w:basedOn w:val="1"/>
    <w:qFormat/>
    <w:uiPriority w:val="1"/>
    <w:pPr>
      <w:autoSpaceDE w:val="0"/>
      <w:autoSpaceDN w:val="0"/>
      <w:jc w:val="left"/>
    </w:pPr>
    <w:rPr>
      <w:rFonts w:ascii="宋体" w:hAnsi="宋体" w:cs="宋体"/>
      <w:kern w:val="0"/>
      <w:sz w:val="22"/>
      <w:szCs w:val="22"/>
      <w:lang w:val="zh-CN" w:bidi="zh-CN"/>
    </w:rPr>
  </w:style>
  <w:style w:type="paragraph" w:customStyle="1" w:styleId="45">
    <w:name w:val="正文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Calibri"/>
      <w:kern w:val="2"/>
      <w:sz w:val="21"/>
      <w:szCs w:val="24"/>
      <w:lang w:val="en-US" w:eastAsia="zh-CN" w:bidi="ar-SA"/>
    </w:rPr>
  </w:style>
  <w:style w:type="character" w:customStyle="1" w:styleId="46">
    <w:name w:val="fontstyle01"/>
    <w:basedOn w:val="21"/>
    <w:qFormat/>
    <w:uiPriority w:val="0"/>
    <w:rPr>
      <w:rFonts w:ascii="仿宋_GB2312" w:eastAsia="仿宋_GB2312" w:cs="仿宋_GB2312"/>
      <w:color w:val="000000"/>
      <w:sz w:val="28"/>
      <w:szCs w:val="28"/>
    </w:rPr>
  </w:style>
  <w:style w:type="paragraph" w:customStyle="1" w:styleId="47">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33938B-E628-4484-97DB-4BE1864505D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55</Pages>
  <Words>7179</Words>
  <Characters>40925</Characters>
  <Lines>341</Lines>
  <Paragraphs>96</Paragraphs>
  <TotalTime>43</TotalTime>
  <ScaleCrop>false</ScaleCrop>
  <LinksUpToDate>false</LinksUpToDate>
  <CharactersWithSpaces>48008</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2021-08-23T08:34:00Z</dcterms:created>
  <dc:creator>方贤颖</dc:creator>
  <cp:lastModifiedBy>沈阳</cp:lastModifiedBy>
  <dcterms:modified xsi:type="dcterms:W3CDTF">2026-07-01T02:20:24Z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F68E71F3BD554C0BB68062C10652B670</vt:lpwstr>
  </property>
</Properties>
</file>