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color w:val="auto"/>
          <w:sz w:val="28"/>
          <w:szCs w:val="28"/>
        </w:rPr>
      </w:pPr>
      <w:bookmarkStart w:id="0" w:name="_GoBack"/>
      <w:bookmarkEnd w:id="0"/>
      <w:r>
        <w:rPr>
          <w:rFonts w:hint="eastAsia"/>
          <w:color w:val="auto"/>
          <w:sz w:val="28"/>
          <w:szCs w:val="28"/>
        </w:rPr>
        <w:t>中银国际证券股份有限公司</w:t>
      </w:r>
    </w:p>
    <w:p>
      <w:pPr>
        <w:pStyle w:val="12"/>
        <w:spacing w:after="410"/>
        <w:jc w:val="center"/>
        <w:rPr>
          <w:color w:val="auto"/>
          <w:sz w:val="30"/>
          <w:szCs w:val="30"/>
        </w:rPr>
      </w:pPr>
      <w:r>
        <w:rPr>
          <w:color w:val="auto"/>
        </w:rPr>
        <w:t xml:space="preserve"> </w:t>
      </w:r>
      <w:r>
        <w:rPr>
          <w:rFonts w:hint="eastAsia"/>
          <w:color w:val="auto"/>
          <w:sz w:val="30"/>
          <w:szCs w:val="30"/>
        </w:rPr>
        <w:t>科创板融资融券交易特别风险揭示书</w:t>
      </w:r>
    </w:p>
    <w:p>
      <w:pPr>
        <w:autoSpaceDE w:val="0"/>
        <w:autoSpaceDN w:val="0"/>
        <w:adjustRightInd w:val="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zh-CN"/>
        </w:rPr>
        <w:t>尊敬的申请开通科创板融资融券交易的客户：</w:t>
      </w:r>
    </w:p>
    <w:p>
      <w:pPr>
        <w:autoSpaceDE w:val="0"/>
        <w:autoSpaceDN w:val="0"/>
        <w:adjustRightInd w:val="0"/>
        <w:jc w:val="left"/>
        <w:rPr>
          <w:rFonts w:ascii="仿宋" w:hAnsi="仿宋" w:eastAsia="仿宋" w:cs="仿宋_GB2312"/>
          <w:kern w:val="0"/>
          <w:sz w:val="24"/>
          <w:szCs w:val="24"/>
          <w:lang w:val="zh-CN"/>
        </w:rPr>
      </w:pPr>
      <w:r>
        <w:rPr>
          <w:rFonts w:ascii="仿宋" w:hAnsi="仿宋" w:eastAsia="仿宋" w:cs="仿宋_GB2312"/>
          <w:kern w:val="0"/>
          <w:sz w:val="24"/>
          <w:szCs w:val="24"/>
          <w:lang w:val="zh-CN"/>
        </w:rPr>
        <w:t xml:space="preserve">    </w:t>
      </w:r>
      <w:r>
        <w:rPr>
          <w:rFonts w:hint="eastAsia" w:ascii="仿宋" w:hAnsi="仿宋" w:eastAsia="仿宋" w:cs="仿宋_GB2312"/>
          <w:kern w:val="0"/>
          <w:sz w:val="24"/>
          <w:szCs w:val="24"/>
          <w:lang w:val="zh-CN"/>
        </w:rPr>
        <w:t>融资融券交易与普通证券交易不同，具有财务杠杆放大效应，投资者虽然有机会以约定的担保物获取较大的收益，但也有可能蒙受巨额的损失，您已签署了《融资融券交易风险揭示书》，充分了解了融资融券交易的各项风险；科创板交易规则与上交所主板交易具有较大的差异，您已签署了《科创板股票交易风险揭示书》，充分了解了科创板的交易风险。您通过信用证券账户参与科创板融资融券交易，在承担融资融券业务及科创板股票</w:t>
      </w:r>
      <w:r>
        <w:rPr>
          <w:rFonts w:hint="eastAsia" w:ascii="仿宋" w:hAnsi="仿宋" w:eastAsia="仿宋" w:cs="仿宋_GB2312"/>
          <w:kern w:val="0"/>
          <w:sz w:val="24"/>
          <w:szCs w:val="24"/>
        </w:rPr>
        <w:t>或存托凭证（以下统称“科创板股票”）</w:t>
      </w:r>
      <w:r>
        <w:rPr>
          <w:rFonts w:hint="eastAsia" w:ascii="仿宋" w:hAnsi="仿宋" w:eastAsia="仿宋" w:cs="仿宋_GB2312"/>
          <w:kern w:val="0"/>
          <w:sz w:val="24"/>
          <w:szCs w:val="24"/>
          <w:lang w:val="zh-CN"/>
        </w:rPr>
        <w:t>交易独有的风险基础上，还需承担以下风险：</w:t>
      </w:r>
    </w:p>
    <w:p>
      <w:pPr>
        <w:autoSpaceDE w:val="0"/>
        <w:autoSpaceDN w:val="0"/>
        <w:adjustRightInd w:val="0"/>
        <w:jc w:val="left"/>
        <w:rPr>
          <w:rFonts w:ascii="仿宋" w:hAnsi="仿宋" w:eastAsia="仿宋" w:cs="仿宋_GB2312"/>
          <w:kern w:val="0"/>
          <w:sz w:val="24"/>
          <w:szCs w:val="24"/>
          <w:lang w:val="zh-CN"/>
        </w:rPr>
      </w:pPr>
      <w:r>
        <w:rPr>
          <w:rFonts w:ascii="仿宋" w:hAnsi="仿宋" w:eastAsia="仿宋" w:cs="仿宋_GB2312"/>
          <w:kern w:val="0"/>
          <w:sz w:val="24"/>
          <w:szCs w:val="24"/>
          <w:lang w:val="zh-CN"/>
        </w:rPr>
        <w:t xml:space="preserve">    1</w:t>
      </w:r>
      <w:r>
        <w:rPr>
          <w:rFonts w:hint="eastAsia" w:ascii="仿宋" w:hAnsi="仿宋" w:eastAsia="仿宋" w:cs="仿宋_GB2312"/>
          <w:kern w:val="0"/>
          <w:sz w:val="24"/>
          <w:szCs w:val="24"/>
          <w:lang w:val="zh-CN"/>
        </w:rPr>
        <w:t>、您在信用证券账户内参与科创板股票交易及发生其他相关事项，应遵守监管部门及我司制定的相关法律法规、规章制度、业务规则或其他规范性文件，我司有权根据监管要求、风险管理需要及市场情况等，对以上文件及相关业务管理与风险控制的规则、指标、标准等进行调整，您应注意上述事项对您信用证券账户科创板交易的影响，并自行承担可能造成经济损失的风险。</w:t>
      </w:r>
    </w:p>
    <w:p>
      <w:pPr>
        <w:autoSpaceDE w:val="0"/>
        <w:autoSpaceDN w:val="0"/>
        <w:adjustRightInd w:val="0"/>
        <w:jc w:val="left"/>
        <w:rPr>
          <w:rFonts w:ascii="仿宋" w:hAnsi="仿宋" w:eastAsia="仿宋" w:cs="仿宋_GB2312"/>
          <w:kern w:val="0"/>
          <w:sz w:val="24"/>
          <w:szCs w:val="24"/>
          <w:lang w:val="zh-CN"/>
        </w:rPr>
      </w:pPr>
      <w:r>
        <w:rPr>
          <w:rFonts w:ascii="仿宋" w:hAnsi="仿宋" w:eastAsia="仿宋" w:cs="仿宋_GB2312"/>
          <w:kern w:val="0"/>
          <w:sz w:val="24"/>
          <w:szCs w:val="24"/>
          <w:lang w:val="zh-CN"/>
        </w:rPr>
        <w:t xml:space="preserve">    2</w:t>
      </w:r>
      <w:r>
        <w:rPr>
          <w:rFonts w:hint="eastAsia" w:ascii="仿宋" w:hAnsi="仿宋" w:eastAsia="仿宋" w:cs="仿宋_GB2312"/>
          <w:kern w:val="0"/>
          <w:sz w:val="24"/>
          <w:szCs w:val="24"/>
          <w:lang w:val="zh-CN"/>
        </w:rPr>
        <w:t>、科创板股票竞价交易的涨跌幅限制与上交所主板交易存在较大差异，首次公开发行上市的股票，上市后的前</w:t>
      </w:r>
      <w:r>
        <w:rPr>
          <w:rFonts w:ascii="仿宋" w:hAnsi="仿宋" w:eastAsia="仿宋" w:cs="仿宋_GB2312"/>
          <w:kern w:val="0"/>
          <w:sz w:val="24"/>
          <w:szCs w:val="24"/>
          <w:lang w:val="zh-CN"/>
        </w:rPr>
        <w:t xml:space="preserve"> 5</w:t>
      </w:r>
      <w:r>
        <w:rPr>
          <w:rFonts w:hint="eastAsia" w:ascii="仿宋" w:hAnsi="仿宋" w:eastAsia="仿宋" w:cs="仿宋_GB2312"/>
          <w:kern w:val="0"/>
          <w:sz w:val="24"/>
          <w:szCs w:val="24"/>
          <w:lang w:val="zh-CN"/>
        </w:rPr>
        <w:t>个交易日不设涨跌幅限制，其后涨跌幅限制为</w:t>
      </w:r>
      <w:r>
        <w:rPr>
          <w:rFonts w:ascii="仿宋" w:hAnsi="仿宋" w:eastAsia="仿宋" w:cs="仿宋_GB2312"/>
          <w:kern w:val="0"/>
          <w:sz w:val="24"/>
          <w:szCs w:val="24"/>
          <w:lang w:val="zh-CN"/>
        </w:rPr>
        <w:t xml:space="preserve"> 20%</w:t>
      </w:r>
      <w:r>
        <w:rPr>
          <w:rFonts w:hint="eastAsia" w:ascii="仿宋" w:hAnsi="仿宋" w:eastAsia="仿宋" w:cs="仿宋_GB2312"/>
          <w:kern w:val="0"/>
          <w:sz w:val="24"/>
          <w:szCs w:val="24"/>
          <w:lang w:val="zh-CN"/>
        </w:rPr>
        <w:t>；因此科创板股票交易面临更大的股价波动风险，您在信用账户内交易科创板股票，将面临着融资融券交易特有的杠杆效应可能致使投资损失放大等风险，您的信用账户可能更容易触发《融资融券合同》约定的追加担保物甚至强制平仓的违约风险，发生除损失本金外，您还需要偿还对我司的融资融券负债、相关利息、费用、其他负债等风险，并承担因违约影响您的信用记录的风险。</w:t>
      </w:r>
    </w:p>
    <w:p>
      <w:pPr>
        <w:autoSpaceDE w:val="0"/>
        <w:autoSpaceDN w:val="0"/>
        <w:adjustRightInd w:val="0"/>
        <w:jc w:val="left"/>
        <w:rPr>
          <w:rFonts w:ascii="仿宋" w:hAnsi="仿宋" w:eastAsia="仿宋" w:cs="仿宋_GB2312"/>
          <w:kern w:val="0"/>
          <w:sz w:val="24"/>
          <w:szCs w:val="24"/>
          <w:lang w:val="zh-CN"/>
        </w:rPr>
      </w:pPr>
      <w:r>
        <w:rPr>
          <w:rFonts w:ascii="仿宋" w:hAnsi="仿宋" w:eastAsia="仿宋" w:cs="仿宋_GB2312"/>
          <w:kern w:val="0"/>
          <w:sz w:val="24"/>
          <w:szCs w:val="24"/>
          <w:lang w:val="zh-CN"/>
        </w:rPr>
        <w:t xml:space="preserve">    3</w:t>
      </w:r>
      <w:r>
        <w:rPr>
          <w:rFonts w:hint="eastAsia" w:ascii="仿宋" w:hAnsi="仿宋" w:eastAsia="仿宋" w:cs="仿宋_GB2312"/>
          <w:kern w:val="0"/>
          <w:sz w:val="24"/>
          <w:szCs w:val="24"/>
          <w:lang w:val="zh-CN"/>
        </w:rPr>
        <w:t>、为防范科创板股票股价波幅较大而引发的违约风险，我司有权对您的信用证券账户设置科创板股票交易集中度控制，由此将对您信用账户买入（含担保品买入和融资买入）科创板股票产生影响，可能造成的损失需由您自行承担。</w:t>
      </w:r>
    </w:p>
    <w:p>
      <w:pPr>
        <w:autoSpaceDE w:val="0"/>
        <w:autoSpaceDN w:val="0"/>
        <w:adjustRightInd w:val="0"/>
        <w:jc w:val="left"/>
        <w:rPr>
          <w:rFonts w:ascii="仿宋" w:hAnsi="仿宋" w:eastAsia="仿宋" w:cs="仿宋_GB2312"/>
          <w:kern w:val="0"/>
          <w:sz w:val="24"/>
          <w:szCs w:val="24"/>
          <w:lang w:val="zh-CN"/>
        </w:rPr>
      </w:pPr>
      <w:r>
        <w:rPr>
          <w:rFonts w:ascii="仿宋" w:hAnsi="仿宋" w:eastAsia="仿宋" w:cs="仿宋_GB2312"/>
          <w:kern w:val="0"/>
          <w:sz w:val="24"/>
          <w:szCs w:val="24"/>
          <w:lang w:val="zh-CN"/>
        </w:rPr>
        <w:t xml:space="preserve">    4</w:t>
      </w:r>
      <w:r>
        <w:rPr>
          <w:rFonts w:hint="eastAsia" w:ascii="仿宋" w:hAnsi="仿宋" w:eastAsia="仿宋" w:cs="仿宋_GB2312"/>
          <w:kern w:val="0"/>
          <w:sz w:val="24"/>
          <w:szCs w:val="24"/>
          <w:lang w:val="zh-CN"/>
        </w:rPr>
        <w:t>、为防范科创板股票股价波幅较大而引发的违约风险，我司有权针对科创板股票制订更为严格的包括但不限于折算率、保证金比例、</w:t>
      </w:r>
      <w:r>
        <w:rPr>
          <w:rFonts w:hint="eastAsia" w:ascii="仿宋" w:hAnsi="仿宋" w:eastAsia="仿宋" w:cs="仿宋_GB2312"/>
          <w:kern w:val="0"/>
          <w:sz w:val="24"/>
          <w:szCs w:val="24"/>
        </w:rPr>
        <w:t>证券集中度分组</w:t>
      </w:r>
      <w:r>
        <w:rPr>
          <w:rFonts w:hint="eastAsia" w:ascii="仿宋" w:hAnsi="仿宋" w:eastAsia="仿宋" w:cs="仿宋_GB2312"/>
          <w:kern w:val="0"/>
          <w:sz w:val="24"/>
          <w:szCs w:val="24"/>
          <w:lang w:val="zh-CN"/>
        </w:rPr>
        <w:t>等关键指标的设置标准，并有权实施动态调整等机制，由此将对您的融资融券交易产生影响，您需自行承担可能带来的经济损失风险。</w:t>
      </w:r>
    </w:p>
    <w:p>
      <w:pPr>
        <w:autoSpaceDE w:val="0"/>
        <w:autoSpaceDN w:val="0"/>
        <w:adjustRightInd w:val="0"/>
        <w:ind w:firstLine="480"/>
        <w:jc w:val="left"/>
        <w:rPr>
          <w:rFonts w:ascii="仿宋" w:hAnsi="仿宋" w:eastAsia="仿宋" w:cs="仿宋_GB2312"/>
          <w:kern w:val="0"/>
          <w:sz w:val="24"/>
          <w:szCs w:val="24"/>
          <w:lang w:val="zh-CN"/>
        </w:rPr>
      </w:pPr>
      <w:r>
        <w:rPr>
          <w:rFonts w:ascii="仿宋" w:hAnsi="仿宋" w:eastAsia="仿宋" w:cs="仿宋_GB2312"/>
          <w:kern w:val="0"/>
          <w:sz w:val="24"/>
          <w:szCs w:val="24"/>
          <w:lang w:val="zh-CN"/>
        </w:rPr>
        <w:t>5</w:t>
      </w:r>
      <w:r>
        <w:rPr>
          <w:rFonts w:hint="eastAsia" w:ascii="仿宋" w:hAnsi="仿宋" w:eastAsia="仿宋" w:cs="仿宋_GB2312"/>
          <w:kern w:val="0"/>
          <w:sz w:val="24"/>
          <w:szCs w:val="24"/>
          <w:lang w:val="zh-CN"/>
        </w:rPr>
        <w:t>、为防范科创板股票作为担保物其价值大幅波动的风险，我司有权设置更为严格的盯市与平仓标准，若您信用账户维持担保比例未达到该标准，我司有权按照约定对您的信用账户采取强制平仓措施，可能造成的损失需由您自行承担。</w:t>
      </w:r>
    </w:p>
    <w:p>
      <w:pPr>
        <w:autoSpaceDE w:val="0"/>
        <w:autoSpaceDN w:val="0"/>
        <w:adjustRightInd w:val="0"/>
        <w:ind w:firstLine="480"/>
        <w:jc w:val="left"/>
        <w:rPr>
          <w:rFonts w:ascii="仿宋" w:hAnsi="仿宋" w:eastAsia="仿宋" w:cs="仿宋_GB2312"/>
          <w:kern w:val="0"/>
          <w:sz w:val="24"/>
          <w:szCs w:val="24"/>
        </w:rPr>
      </w:pPr>
      <w:r>
        <w:rPr>
          <w:rFonts w:hint="eastAsia" w:ascii="仿宋" w:hAnsi="仿宋" w:eastAsia="仿宋" w:cs="仿宋_GB2312"/>
          <w:kern w:val="0"/>
          <w:sz w:val="24"/>
          <w:szCs w:val="24"/>
        </w:rPr>
        <w:t>6、</w:t>
      </w:r>
      <w:r>
        <w:rPr>
          <w:rFonts w:hint="eastAsia" w:ascii="仿宋" w:hAnsi="仿宋" w:eastAsia="仿宋" w:cs="仿宋_GB2312"/>
          <w:kern w:val="0"/>
          <w:sz w:val="24"/>
          <w:szCs w:val="24"/>
          <w:lang w:val="zh-CN"/>
        </w:rPr>
        <w:t>为防范科创板股票作为担保物其价值大幅波动的风险，我司有权设置更为严格的</w:t>
      </w:r>
      <w:r>
        <w:rPr>
          <w:rFonts w:hint="eastAsia" w:ascii="仿宋" w:hAnsi="仿宋" w:eastAsia="仿宋" w:cs="仿宋_GB2312"/>
          <w:kern w:val="0"/>
          <w:sz w:val="24"/>
          <w:szCs w:val="24"/>
        </w:rPr>
        <w:t>展期</w:t>
      </w:r>
      <w:r>
        <w:rPr>
          <w:rFonts w:hint="eastAsia" w:ascii="仿宋" w:hAnsi="仿宋" w:eastAsia="仿宋" w:cs="仿宋_GB2312"/>
          <w:kern w:val="0"/>
          <w:sz w:val="24"/>
          <w:szCs w:val="24"/>
          <w:lang w:val="zh-CN"/>
        </w:rPr>
        <w:t>标准，若您信用账户不满足我司标准，我司有权</w:t>
      </w:r>
      <w:r>
        <w:rPr>
          <w:rFonts w:hint="eastAsia" w:ascii="仿宋" w:hAnsi="仿宋" w:eastAsia="仿宋" w:cs="仿宋_GB2312"/>
          <w:kern w:val="0"/>
          <w:sz w:val="24"/>
          <w:szCs w:val="24"/>
        </w:rPr>
        <w:t>拒绝</w:t>
      </w:r>
      <w:r>
        <w:rPr>
          <w:rFonts w:hint="eastAsia" w:ascii="仿宋" w:hAnsi="仿宋" w:eastAsia="仿宋" w:cs="仿宋_GB2312"/>
          <w:kern w:val="0"/>
          <w:sz w:val="24"/>
          <w:szCs w:val="24"/>
          <w:lang w:val="zh-CN"/>
        </w:rPr>
        <w:t>您的</w:t>
      </w:r>
      <w:r>
        <w:rPr>
          <w:rFonts w:hint="eastAsia" w:ascii="仿宋" w:hAnsi="仿宋" w:eastAsia="仿宋" w:cs="仿宋_GB2312"/>
          <w:kern w:val="0"/>
          <w:sz w:val="24"/>
          <w:szCs w:val="24"/>
        </w:rPr>
        <w:t>展期申请</w:t>
      </w:r>
      <w:r>
        <w:rPr>
          <w:rFonts w:hint="eastAsia" w:ascii="仿宋" w:hAnsi="仿宋" w:eastAsia="仿宋" w:cs="仿宋_GB2312"/>
          <w:kern w:val="0"/>
          <w:sz w:val="24"/>
          <w:szCs w:val="24"/>
          <w:lang w:val="zh-CN"/>
        </w:rPr>
        <w:t>，可能造成的损失需由您自行承担。</w:t>
      </w:r>
    </w:p>
    <w:p>
      <w:pPr>
        <w:autoSpaceDE w:val="0"/>
        <w:autoSpaceDN w:val="0"/>
        <w:adjustRightInd w:val="0"/>
        <w:ind w:firstLine="480"/>
        <w:jc w:val="left"/>
        <w:rPr>
          <w:rFonts w:ascii="仿宋" w:hAnsi="仿宋" w:eastAsia="仿宋" w:cs="仿宋_GB2312"/>
          <w:kern w:val="0"/>
          <w:sz w:val="24"/>
          <w:szCs w:val="24"/>
          <w:lang w:val="zh-CN"/>
        </w:rPr>
      </w:pPr>
      <w:r>
        <w:rPr>
          <w:rFonts w:hint="eastAsia" w:ascii="仿宋" w:hAnsi="仿宋" w:eastAsia="仿宋" w:cs="仿宋_GB2312"/>
          <w:kern w:val="0"/>
          <w:sz w:val="24"/>
          <w:szCs w:val="24"/>
        </w:rPr>
        <w:t>7</w:t>
      </w:r>
      <w:r>
        <w:rPr>
          <w:rFonts w:hint="eastAsia" w:ascii="仿宋" w:hAnsi="仿宋" w:eastAsia="仿宋" w:cs="仿宋_GB2312"/>
          <w:kern w:val="0"/>
          <w:sz w:val="24"/>
          <w:szCs w:val="24"/>
          <w:lang w:val="zh-CN"/>
        </w:rPr>
        <w:t>、科创板股票自上市首日起可作为交易所融资融券标的，其退市标准部分规则</w:t>
      </w:r>
      <w:r>
        <w:rPr>
          <w:rFonts w:hint="eastAsia" w:ascii="仿宋" w:hAnsi="仿宋" w:eastAsia="仿宋" w:cs="仿宋_GB2312"/>
          <w:kern w:val="0"/>
          <w:sz w:val="24"/>
          <w:szCs w:val="24"/>
        </w:rPr>
        <w:t>也</w:t>
      </w:r>
      <w:r>
        <w:rPr>
          <w:rFonts w:hint="eastAsia" w:ascii="仿宋" w:hAnsi="仿宋" w:eastAsia="仿宋" w:cs="仿宋_GB2312"/>
          <w:kern w:val="0"/>
          <w:sz w:val="24"/>
          <w:szCs w:val="24"/>
          <w:lang w:val="zh-CN"/>
        </w:rPr>
        <w:t>相对主板股票更为严格，您应当充分了解相关规定，密切关注相关风险，为防范由此带来的风险，我司有权对包括科创板股票在内的可充抵保证金证券及标的证券范围、折算率、</w:t>
      </w:r>
      <w:r>
        <w:rPr>
          <w:rFonts w:hint="eastAsia" w:ascii="仿宋" w:hAnsi="仿宋" w:eastAsia="仿宋" w:cs="仿宋_GB2312"/>
          <w:kern w:val="0"/>
          <w:sz w:val="24"/>
          <w:szCs w:val="24"/>
        </w:rPr>
        <w:t>保证金比例、证券集中度分组、公允价格</w:t>
      </w:r>
      <w:r>
        <w:rPr>
          <w:rFonts w:hint="eastAsia" w:ascii="仿宋" w:hAnsi="仿宋" w:eastAsia="仿宋" w:cs="仿宋_GB2312"/>
          <w:kern w:val="0"/>
          <w:sz w:val="24"/>
          <w:szCs w:val="24"/>
          <w:lang w:val="zh-CN"/>
        </w:rPr>
        <w:t>进行调整，并有权要求您提前归还负债等措施，您需自行承担可能带来的经济损失风险。</w:t>
      </w:r>
    </w:p>
    <w:p>
      <w:pPr>
        <w:autoSpaceDE w:val="0"/>
        <w:autoSpaceDN w:val="0"/>
        <w:adjustRightInd w:val="0"/>
        <w:ind w:firstLine="48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zh-CN"/>
        </w:rPr>
        <w:t>7、符合相关规定的红筹企业可以发行存托凭证在科创板上市并作为融资融券标的。红筹企业在境外注册，可能采取协议控制架构，在信息披露、分红派息等方面可能与境内上市公司存在差异。红筹公司注册地、境外上市地等地法律法规对当地投资者提供保护，可能与境内法律为境内投资者提供的保护存在差异。红筹企业存托凭证由存托人签发，以境外证券为基础在中国境内发行，代表境外基础证券权益。红筹公司存托凭证持有人实际享有的权益与境外基础证券持有人的权益虽然基本相当，但并不等同于直接持有境外基础证券。投资者应当充分知悉存托协议和相关规则的具体内容，了解并接受通过科创板融资融券交易和持有红筹公司存托凭证过程中可能存在的更大风险，可能造成的损失需由您自行承担。投资者还应充分了解并知悉，参与存托凭证交易还需支付存托凭证托管服务费等费用，</w:t>
      </w:r>
      <w:r>
        <w:rPr>
          <w:rFonts w:ascii="仿宋" w:hAnsi="仿宋" w:eastAsia="仿宋" w:cs="仿宋_GB2312"/>
          <w:kern w:val="0"/>
          <w:sz w:val="24"/>
          <w:szCs w:val="24"/>
          <w:lang w:val="zh-CN"/>
        </w:rPr>
        <w:t>投资者将面临融资融券成本增加的风险。</w:t>
      </w:r>
    </w:p>
    <w:p>
      <w:pPr>
        <w:autoSpaceDE w:val="0"/>
        <w:autoSpaceDN w:val="0"/>
        <w:adjustRightInd w:val="0"/>
        <w:ind w:firstLine="480" w:firstLineChars="200"/>
        <w:jc w:val="left"/>
        <w:rPr>
          <w:rFonts w:hint="eastAsia" w:ascii="仿宋" w:hAnsi="仿宋" w:eastAsia="仿宋" w:cs="仿宋_GB2312"/>
          <w:color w:val="000000"/>
          <w:kern w:val="0"/>
          <w:sz w:val="24"/>
          <w:szCs w:val="24"/>
          <w:lang w:val="zh-CN"/>
        </w:rPr>
      </w:pPr>
      <w:r>
        <w:rPr>
          <w:rFonts w:hint="eastAsia" w:ascii="仿宋" w:hAnsi="仿宋" w:eastAsia="仿宋" w:cs="仿宋_GB2312"/>
          <w:color w:val="000000"/>
          <w:kern w:val="0"/>
          <w:sz w:val="24"/>
          <w:szCs w:val="24"/>
        </w:rPr>
        <w:t>科创板企业的部分特征也会导致</w:t>
      </w:r>
      <w:r>
        <w:rPr>
          <w:rFonts w:hint="eastAsia" w:ascii="仿宋" w:hAnsi="仿宋" w:eastAsia="仿宋" w:cs="仿宋_GB2312"/>
          <w:kern w:val="0"/>
          <w:sz w:val="24"/>
          <w:szCs w:val="24"/>
          <w:lang w:val="zh-CN"/>
        </w:rPr>
        <w:t>股价波幅较大</w:t>
      </w:r>
      <w:r>
        <w:rPr>
          <w:rFonts w:hint="eastAsia" w:ascii="仿宋" w:hAnsi="仿宋" w:eastAsia="仿宋" w:cs="仿宋_GB2312"/>
          <w:color w:val="000000"/>
          <w:kern w:val="0"/>
          <w:sz w:val="24"/>
          <w:szCs w:val="24"/>
          <w:lang w:val="zh-CN"/>
        </w:rPr>
        <w:t>，</w:t>
      </w:r>
      <w:r>
        <w:rPr>
          <w:rFonts w:hint="eastAsia" w:ascii="仿宋" w:hAnsi="仿宋" w:eastAsia="仿宋" w:cs="仿宋_GB2312"/>
          <w:kern w:val="0"/>
          <w:sz w:val="24"/>
          <w:szCs w:val="24"/>
          <w:lang w:val="zh-CN"/>
        </w:rPr>
        <w:t>您在信用账户内交易科创板股票，将面临着融资融券交易特有的杠杆效应可能致使投资损失放大等风险，</w:t>
      </w:r>
      <w:r>
        <w:rPr>
          <w:rFonts w:hint="eastAsia" w:ascii="仿宋" w:hAnsi="仿宋" w:eastAsia="仿宋" w:cs="仿宋_GB2312"/>
          <w:kern w:val="0"/>
          <w:sz w:val="24"/>
          <w:szCs w:val="24"/>
        </w:rPr>
        <w:t>因此</w:t>
      </w:r>
      <w:r>
        <w:rPr>
          <w:rFonts w:hint="eastAsia" w:ascii="仿宋" w:hAnsi="仿宋" w:eastAsia="仿宋" w:cs="仿宋_GB2312"/>
          <w:color w:val="000000"/>
          <w:kern w:val="0"/>
          <w:sz w:val="24"/>
          <w:szCs w:val="24"/>
          <w:lang w:val="zh-CN"/>
        </w:rPr>
        <w:t>您还需充分了解：</w:t>
      </w:r>
    </w:p>
    <w:p>
      <w:pPr>
        <w:autoSpaceDE w:val="0"/>
        <w:autoSpaceDN w:val="0"/>
        <w:adjustRightInd w:val="0"/>
        <w:ind w:firstLine="480" w:firstLineChars="200"/>
        <w:jc w:val="left"/>
        <w:rPr>
          <w:rFonts w:hint="default" w:ascii="仿宋" w:hAnsi="仿宋" w:eastAsia="仿宋" w:cs="仿宋_GB2312"/>
          <w:color w:val="000000"/>
          <w:kern w:val="0"/>
          <w:sz w:val="24"/>
          <w:szCs w:val="24"/>
          <w:lang w:val="en-US" w:eastAsia="zh-CN"/>
        </w:rPr>
      </w:pPr>
      <w:r>
        <w:rPr>
          <w:rFonts w:hint="eastAsia" w:ascii="仿宋" w:hAnsi="仿宋" w:eastAsia="仿宋" w:cs="仿宋_GB2312"/>
          <w:color w:val="000000"/>
          <w:kern w:val="0"/>
          <w:sz w:val="24"/>
          <w:szCs w:val="24"/>
          <w:lang w:val="en-US" w:eastAsia="zh-CN"/>
        </w:rPr>
        <w:t>1、投资者在参与科创板股票投资前，应当充分知悉科创板股票发行、上市、交易、持续监管等相关制度安排，深入了解相关上市公司基本面情况，并根据自身财务状况、风险承受能力等，审慎考虑是否申购、交易科创板股票。</w:t>
      </w:r>
    </w:p>
    <w:p>
      <w:pPr>
        <w:numPr>
          <w:ilvl w:val="-1"/>
          <w:numId w:val="0"/>
        </w:numPr>
        <w:autoSpaceDE w:val="0"/>
        <w:autoSpaceDN w:val="0"/>
        <w:adjustRightInd w:val="0"/>
        <w:ind w:firstLine="480" w:firstLineChars="20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en-US" w:eastAsia="zh-CN"/>
        </w:rPr>
        <w:t>2、</w:t>
      </w:r>
      <w:r>
        <w:rPr>
          <w:rFonts w:ascii="仿宋" w:hAnsi="仿宋" w:eastAsia="仿宋" w:cs="仿宋_GB2312"/>
          <w:kern w:val="0"/>
          <w:sz w:val="24"/>
          <w:szCs w:val="24"/>
          <w:lang w:val="zh-CN"/>
        </w:rPr>
        <w:t>科创板企业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pPr>
        <w:numPr>
          <w:ilvl w:val="-1"/>
          <w:numId w:val="0"/>
        </w:numPr>
        <w:autoSpaceDE w:val="0"/>
        <w:autoSpaceDN w:val="0"/>
        <w:adjustRightInd w:val="0"/>
        <w:ind w:firstLine="480" w:firstLineChars="20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en-US" w:eastAsia="zh-CN"/>
        </w:rPr>
        <w:t>3、</w:t>
      </w:r>
      <w:r>
        <w:rPr>
          <w:rFonts w:ascii="仿宋" w:hAnsi="仿宋" w:eastAsia="仿宋" w:cs="仿宋_GB2312"/>
          <w:kern w:val="0"/>
          <w:sz w:val="24"/>
          <w:szCs w:val="24"/>
          <w:lang w:val="zh-CN"/>
        </w:rPr>
        <w:t>科创板企业可能存在首次公开发行前最近3个会计年度未能连续盈利、公开发行并上市时尚未盈利、有累计未弥补亏损等情形，可能存在上市后仍无法盈利、持续亏损、无法进行利润分配等情形。</w:t>
      </w:r>
    </w:p>
    <w:p>
      <w:pPr>
        <w:numPr>
          <w:ilvl w:val="-1"/>
          <w:numId w:val="0"/>
        </w:numPr>
        <w:autoSpaceDE w:val="0"/>
        <w:autoSpaceDN w:val="0"/>
        <w:adjustRightInd w:val="0"/>
        <w:ind w:firstLine="480" w:firstLineChars="20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en-US" w:eastAsia="zh-CN"/>
        </w:rPr>
        <w:t>4、</w:t>
      </w:r>
      <w:r>
        <w:rPr>
          <w:rFonts w:ascii="仿宋" w:hAnsi="仿宋" w:eastAsia="仿宋" w:cs="仿宋_GB2312"/>
          <w:kern w:val="0"/>
          <w:sz w:val="24"/>
          <w:szCs w:val="24"/>
          <w:lang w:val="zh-CN"/>
        </w:rPr>
        <w:t>科创板新股发行价格、规模、节奏等坚持市场化导向，可能采用直接定价或者询价定价方式发行。采用询价定价方式的，询价对象限定在证券公司等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pPr>
        <w:numPr>
          <w:ilvl w:val="-1"/>
          <w:numId w:val="0"/>
        </w:numPr>
        <w:autoSpaceDE w:val="0"/>
        <w:autoSpaceDN w:val="0"/>
        <w:adjustRightInd w:val="0"/>
        <w:ind w:firstLine="480" w:firstLineChars="20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en-US" w:eastAsia="zh-CN"/>
        </w:rPr>
        <w:t>5、</w:t>
      </w:r>
      <w:r>
        <w:rPr>
          <w:rFonts w:ascii="仿宋" w:hAnsi="仿宋" w:eastAsia="仿宋" w:cs="仿宋_GB2312"/>
          <w:kern w:val="0"/>
          <w:sz w:val="24"/>
          <w:szCs w:val="24"/>
          <w:lang w:val="zh-CN"/>
        </w:rPr>
        <w:t>科创板新股发行采用询价方式的，初步询价结束后，科创板发行人预计发行后总市值不满足其在招股说明书中明确选择的市值与财务指标上市标准的，将按规定中止发行。</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6、</w:t>
      </w:r>
      <w:r>
        <w:rPr>
          <w:rFonts w:ascii="仿宋" w:hAnsi="仿宋" w:eastAsia="仿宋" w:cs="仿宋_GB2312"/>
          <w:kern w:val="0"/>
          <w:sz w:val="24"/>
          <w:szCs w:val="24"/>
          <w:lang w:val="zh-CN"/>
        </w:rPr>
        <w:t>根据首次公开发行科创板股票发行后总股本差异、是否为未盈利企业，网上初始发行比例可能有所差别；根据网上投资者有效申购倍数差异，可能存在不同的网下向网上回拨比例。科创板股票网上发行比例、网下向网上回拨比例与上交所主板股票发行规则存在差异，投资者应当关注。</w:t>
      </w:r>
    </w:p>
    <w:p>
      <w:pPr>
        <w:numPr>
          <w:ilvl w:val="-1"/>
          <w:numId w:val="0"/>
        </w:numPr>
        <w:autoSpaceDE w:val="0"/>
        <w:autoSpaceDN w:val="0"/>
        <w:adjustRightInd w:val="0"/>
        <w:ind w:firstLine="480" w:firstLineChars="20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en-US" w:eastAsia="zh-CN"/>
        </w:rPr>
        <w:t>7、</w:t>
      </w:r>
      <w:r>
        <w:rPr>
          <w:rFonts w:ascii="仿宋" w:hAnsi="仿宋" w:eastAsia="仿宋" w:cs="仿宋_GB2312"/>
          <w:kern w:val="0"/>
          <w:sz w:val="24"/>
          <w:szCs w:val="24"/>
          <w:lang w:val="zh-CN"/>
        </w:rPr>
        <w:t>首次公开发行股票时，发行人和主承销商可以采用超额配售选择权，即存在发行人增发股票的可能性。</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8、</w:t>
      </w:r>
      <w:r>
        <w:rPr>
          <w:rFonts w:ascii="仿宋" w:hAnsi="仿宋" w:eastAsia="仿宋" w:cs="仿宋_GB2312"/>
          <w:kern w:val="0"/>
          <w:sz w:val="24"/>
          <w:szCs w:val="24"/>
          <w:lang w:val="zh-CN"/>
        </w:rPr>
        <w:t>科创板股票可能主动终止上市，也可能因触及退市情形被终止上市。被实施退市风险警示</w:t>
      </w:r>
      <w:r>
        <w:rPr>
          <w:rFonts w:hint="eastAsia" w:ascii="仿宋" w:hAnsi="仿宋" w:eastAsia="仿宋" w:cs="仿宋_GB2312"/>
          <w:kern w:val="0"/>
          <w:sz w:val="24"/>
          <w:szCs w:val="24"/>
          <w:lang w:val="en-US" w:eastAsia="zh-CN"/>
        </w:rPr>
        <w:t>或其他风险警示</w:t>
      </w:r>
      <w:r>
        <w:rPr>
          <w:rFonts w:ascii="仿宋" w:hAnsi="仿宋" w:eastAsia="仿宋" w:cs="仿宋_GB2312"/>
          <w:kern w:val="0"/>
          <w:sz w:val="24"/>
          <w:szCs w:val="24"/>
          <w:lang w:val="zh-CN"/>
        </w:rPr>
        <w:t>的科创板股票，存在投资者当日通过竞价交易、大宗交易和盘后固定价格交易累计买入的单只股票数量不超过50万股的限制。主动终止上市或因触及交易类情形被终止上市的，不进入退市整理期，直接予以摘牌；因触及重大违法类、财务类或者规范类情形被终止上市的，进入退市整理期交易15个交易日后予以摘牌。投资者应当充分了解相关规定，密切关注退市风险。</w:t>
      </w:r>
    </w:p>
    <w:p>
      <w:pPr>
        <w:numPr>
          <w:ilvl w:val="-1"/>
          <w:numId w:val="0"/>
        </w:numPr>
        <w:autoSpaceDE w:val="0"/>
        <w:autoSpaceDN w:val="0"/>
        <w:adjustRightInd w:val="0"/>
        <w:ind w:firstLine="480" w:firstLineChars="20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en-US" w:eastAsia="zh-CN"/>
        </w:rPr>
        <w:t>9、</w:t>
      </w:r>
      <w:r>
        <w:rPr>
          <w:rFonts w:ascii="仿宋" w:hAnsi="仿宋" w:eastAsia="仿宋" w:cs="仿宋_GB2312"/>
          <w:kern w:val="0"/>
          <w:sz w:val="24"/>
          <w:szCs w:val="24"/>
          <w:lang w:val="zh-CN"/>
        </w:rPr>
        <w:t>科创板制度允许上市公司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10、</w:t>
      </w:r>
      <w:r>
        <w:rPr>
          <w:rFonts w:ascii="仿宋" w:hAnsi="仿宋" w:eastAsia="仿宋" w:cs="仿宋_GB2312"/>
          <w:kern w:val="0"/>
          <w:sz w:val="24"/>
          <w:szCs w:val="24"/>
          <w:lang w:val="zh-CN"/>
        </w:rPr>
        <w:t>出现《上海证券交易所科创板股票上市规则》以及上市公司章程规定的情形时，特别表决权股份将按1:1的比例转换为普通股份。股份转换自相关情形发生时即生效，并可能与相关股份转换登记时点存在差异。投资者需及时关注上市公司相关公告，以了解特别表决权股份变动事宜。</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11、</w:t>
      </w:r>
      <w:r>
        <w:rPr>
          <w:rFonts w:ascii="仿宋" w:hAnsi="仿宋" w:eastAsia="仿宋" w:cs="仿宋_GB2312"/>
          <w:kern w:val="0"/>
          <w:sz w:val="24"/>
          <w:szCs w:val="24"/>
          <w:lang w:val="zh-CN"/>
        </w:rPr>
        <w:t>相对于主板上市公司，科创板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12、</w:t>
      </w:r>
      <w:r>
        <w:rPr>
          <w:rFonts w:ascii="仿宋" w:hAnsi="仿宋" w:eastAsia="仿宋" w:cs="仿宋_GB2312"/>
          <w:kern w:val="0"/>
          <w:sz w:val="24"/>
          <w:szCs w:val="24"/>
          <w:lang w:val="zh-CN"/>
        </w:rPr>
        <w:t>科创板股票竞价交易的价格涨跌幅限制比例为20%，但在首次公开发行上市后的前5个交易日、进入退市整理期的首日以及上交所认定的其他情形下不实行涨跌幅限制，投资者应当关注可能产生的股价波动的风险。</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13、</w:t>
      </w:r>
      <w:r>
        <w:rPr>
          <w:rFonts w:ascii="仿宋" w:hAnsi="仿宋" w:eastAsia="仿宋" w:cs="仿宋_GB2312"/>
          <w:kern w:val="0"/>
          <w:sz w:val="24"/>
          <w:szCs w:val="24"/>
          <w:lang w:val="zh-CN"/>
        </w:rPr>
        <w:t>科创板无价格涨跌幅限制股票竞价交易盘中交易价格较当日开盘价格首次上涨或下跌达到或超过30%、60%，以及出现证监会或者上交所认定的其他情形的，实施盘中临时停牌机制，单次临时停牌时间为10分钟，停牌时间跨越14:57的，于当日14:57复牌，并对已接受的申报进行复牌集合竞价，再进行收盘集合竞价。</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14、</w:t>
      </w:r>
      <w:r>
        <w:rPr>
          <w:rFonts w:ascii="仿宋" w:hAnsi="仿宋" w:eastAsia="仿宋" w:cs="仿宋_GB2312"/>
          <w:kern w:val="0"/>
          <w:sz w:val="24"/>
          <w:szCs w:val="24"/>
          <w:lang w:val="zh-CN"/>
        </w:rPr>
        <w:t>科创板股票交易可以实行做市商机制，做市商可以为科创板股票提供双边报价服务，请投资者及时关注相关事项。</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15、</w:t>
      </w:r>
      <w:r>
        <w:rPr>
          <w:rFonts w:ascii="仿宋" w:hAnsi="仿宋" w:eastAsia="仿宋" w:cs="仿宋_GB2312"/>
          <w:kern w:val="0"/>
          <w:sz w:val="24"/>
          <w:szCs w:val="24"/>
          <w:lang w:val="zh-CN"/>
        </w:rPr>
        <w:t>投资者需关注科创板股票交易的单笔申报数量、有效申报价格范围等与上交所主板市场股票交易存在差异，避免产生无效申报。</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16、</w:t>
      </w:r>
      <w:r>
        <w:rPr>
          <w:rFonts w:ascii="仿宋" w:hAnsi="仿宋" w:eastAsia="仿宋" w:cs="仿宋_GB2312"/>
          <w:kern w:val="0"/>
          <w:sz w:val="24"/>
          <w:szCs w:val="24"/>
          <w:lang w:val="zh-CN"/>
        </w:rPr>
        <w:t>投资者需关注科创板股票交易方式包括竞价交易、盘后固定价格交易及大宗交易，不同交易方式的交易时间、申报要求、成交原则等存在差异。科创板股票大宗交易</w:t>
      </w:r>
      <w:r>
        <w:rPr>
          <w:rFonts w:hint="eastAsia" w:ascii="仿宋" w:hAnsi="仿宋" w:eastAsia="仿宋" w:cs="仿宋_GB2312"/>
          <w:kern w:val="0"/>
          <w:sz w:val="24"/>
          <w:szCs w:val="24"/>
          <w:lang w:val="en-US" w:eastAsia="zh-CN"/>
        </w:rPr>
        <w:t>成交申报确认时间与上交所主板股票存在差异，投资者应当关注</w:t>
      </w:r>
      <w:r>
        <w:rPr>
          <w:rFonts w:ascii="仿宋" w:hAnsi="仿宋" w:eastAsia="仿宋" w:cs="仿宋_GB2312"/>
          <w:kern w:val="0"/>
          <w:sz w:val="24"/>
          <w:szCs w:val="24"/>
          <w:lang w:val="zh-CN"/>
        </w:rPr>
        <w:t>。</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17、</w:t>
      </w:r>
      <w:r>
        <w:rPr>
          <w:rFonts w:ascii="仿宋" w:hAnsi="仿宋" w:eastAsia="仿宋" w:cs="仿宋_GB2312"/>
          <w:kern w:val="0"/>
          <w:sz w:val="24"/>
          <w:szCs w:val="24"/>
          <w:lang w:val="zh-CN"/>
        </w:rPr>
        <w:t>科创板股票上市首日即可作为融资融券标的，投资者应注意相关风险。</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18、</w:t>
      </w:r>
      <w:r>
        <w:rPr>
          <w:rFonts w:ascii="仿宋" w:hAnsi="仿宋" w:eastAsia="仿宋" w:cs="仿宋_GB2312"/>
          <w:kern w:val="0"/>
          <w:sz w:val="24"/>
          <w:szCs w:val="24"/>
          <w:lang w:val="zh-CN"/>
        </w:rPr>
        <w:t>科创板股票的交易公开信息披露指标及异常波动情形、严重异常波动情形披露指标与上交所主板市场规定不同，投资者应当关注与此相关的风险。</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19、</w:t>
      </w:r>
      <w:r>
        <w:rPr>
          <w:rFonts w:ascii="仿宋" w:hAnsi="仿宋" w:eastAsia="仿宋" w:cs="仿宋_GB2312"/>
          <w:kern w:val="0"/>
          <w:sz w:val="24"/>
          <w:szCs w:val="24"/>
          <w:lang w:val="zh-CN"/>
        </w:rPr>
        <w:t>符合相关规定的红筹企业可以在科创板上市。红筹企业在境外注册，可能采用协议控制架构，在上市标准、信息披露、分红派息、退市标准等方面可能与境内上市公司存在差异。红筹企业注册地、境外上市地等地法律法规对当地投资者提供的保护,可能与境内法律为境内投资者提供的保护存在差异。</w:t>
      </w:r>
    </w:p>
    <w:p>
      <w:pPr>
        <w:numPr>
          <w:ilvl w:val="-1"/>
          <w:numId w:val="0"/>
        </w:numPr>
        <w:autoSpaceDE w:val="0"/>
        <w:autoSpaceDN w:val="0"/>
        <w:adjustRightInd w:val="0"/>
        <w:ind w:firstLine="480" w:firstLineChars="20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en-US" w:eastAsia="zh-CN"/>
        </w:rPr>
        <w:t>20、</w:t>
      </w:r>
      <w:r>
        <w:rPr>
          <w:rFonts w:ascii="仿宋" w:hAnsi="仿宋" w:eastAsia="仿宋" w:cs="仿宋_GB2312"/>
          <w:kern w:val="0"/>
          <w:sz w:val="24"/>
          <w:szCs w:val="24"/>
          <w:lang w:val="zh-CN"/>
        </w:rPr>
        <w:t>红筹企业可以发行股票或存托凭证在科创板上市。存托凭证由存托人签发、以境外证券为基础在中国境内发行,代表境外基础证券权益。红筹企业存托凭证持有人实际享有的权益与境外基础证券持有人的权益虽然基本相当,但并不能等同于直接持有境外基础证券。投资者应当充分知悉存托协议和相关规则的具体内容，关注交易和持有红筹企业股票或存托凭证过程中可能存在的风险。</w:t>
      </w:r>
    </w:p>
    <w:p>
      <w:pPr>
        <w:numPr>
          <w:ilvl w:val="-1"/>
          <w:numId w:val="0"/>
        </w:numPr>
        <w:autoSpaceDE w:val="0"/>
        <w:autoSpaceDN w:val="0"/>
        <w:adjustRightInd w:val="0"/>
        <w:ind w:firstLine="480" w:firstLineChars="200"/>
        <w:jc w:val="left"/>
        <w:rPr>
          <w:rFonts w:ascii="仿宋" w:hAnsi="仿宋" w:eastAsia="仿宋" w:cs="仿宋_GB2312"/>
          <w:kern w:val="0"/>
          <w:sz w:val="24"/>
          <w:szCs w:val="24"/>
        </w:rPr>
      </w:pPr>
      <w:r>
        <w:rPr>
          <w:rFonts w:hint="eastAsia" w:ascii="仿宋" w:hAnsi="仿宋" w:eastAsia="仿宋" w:cs="仿宋_GB2312"/>
          <w:kern w:val="0"/>
          <w:sz w:val="24"/>
          <w:szCs w:val="24"/>
          <w:lang w:val="en-US" w:eastAsia="zh-CN"/>
        </w:rPr>
        <w:t>21、</w:t>
      </w:r>
      <w:r>
        <w:rPr>
          <w:rFonts w:ascii="仿宋" w:hAnsi="仿宋" w:eastAsia="仿宋" w:cs="仿宋_GB2312"/>
          <w:kern w:val="0"/>
          <w:sz w:val="24"/>
          <w:szCs w:val="24"/>
          <w:lang w:val="zh-CN"/>
        </w:rPr>
        <w:t>科创板股票相关法律、行政法规、部门规章、规范性文件（以下简称法律法规）和交易所业务规则，可能根据市场情况进行修改，或者制定新的法律法规和业务规则，投资者应当及时予以关注和了解。</w:t>
      </w:r>
    </w:p>
    <w:p>
      <w:pPr>
        <w:autoSpaceDE w:val="0"/>
        <w:autoSpaceDN w:val="0"/>
        <w:adjustRightInd w:val="0"/>
        <w:ind w:firstLine="480" w:firstLineChars="200"/>
        <w:jc w:val="left"/>
        <w:rPr>
          <w:rFonts w:ascii="仿宋" w:hAnsi="仿宋" w:eastAsia="仿宋" w:cs="仿宋_GB2312"/>
          <w:kern w:val="0"/>
          <w:sz w:val="24"/>
          <w:szCs w:val="24"/>
          <w:lang w:val="zh-CN"/>
        </w:rPr>
      </w:pPr>
    </w:p>
    <w:p>
      <w:pPr>
        <w:autoSpaceDE w:val="0"/>
        <w:autoSpaceDN w:val="0"/>
        <w:adjustRightInd w:val="0"/>
        <w:jc w:val="left"/>
        <w:rPr>
          <w:rFonts w:ascii="仿宋" w:hAnsi="仿宋" w:eastAsia="仿宋" w:cs="仿宋_GB2312"/>
          <w:kern w:val="0"/>
          <w:sz w:val="24"/>
          <w:szCs w:val="24"/>
          <w:lang w:val="zh-CN"/>
        </w:rPr>
      </w:pPr>
    </w:p>
    <w:p>
      <w:pPr>
        <w:autoSpaceDE w:val="0"/>
        <w:autoSpaceDN w:val="0"/>
        <w:adjustRightInd w:val="0"/>
        <w:snapToGrid w:val="0"/>
        <w:ind w:firstLine="600"/>
        <w:rPr>
          <w:rFonts w:ascii="仿宋" w:hAnsi="仿宋" w:eastAsia="仿宋" w:cs="Arial"/>
          <w:b/>
          <w:kern w:val="0"/>
          <w:sz w:val="28"/>
          <w:szCs w:val="28"/>
        </w:rPr>
      </w:pPr>
      <w:r>
        <w:rPr>
          <w:rFonts w:hint="eastAsia" w:ascii="仿宋" w:hAnsi="仿宋" w:eastAsia="仿宋" w:cs="仿宋_GB2312"/>
          <w:b/>
          <w:kern w:val="0"/>
          <w:sz w:val="28"/>
          <w:szCs w:val="28"/>
          <w:lang w:val="zh-CN"/>
        </w:rPr>
        <w:t>本风险揭示书的揭示事项仅为列举性质，未能详尽列明您在信用证券账户内参与科创板股票交易的所有风险，您在参与交易前，应当认真阅读有关法律法规和交易所业务规则等相关规定，对其他可能存在的风险因素也应当有所了解和掌握，并确信自己已做好足够的风险评估与财务安排，避免因信用证券账户参与科创板股票交易遭受难以承受的损失。您还应积极配合我司履行科创板融资融券业务适当性义务，</w:t>
      </w:r>
      <w:r>
        <w:rPr>
          <w:rFonts w:hint="eastAsia" w:ascii="仿宋" w:hAnsi="仿宋" w:eastAsia="仿宋" w:cs="Arial"/>
          <w:b/>
          <w:kern w:val="0"/>
          <w:sz w:val="28"/>
          <w:szCs w:val="28"/>
        </w:rPr>
        <w:t>客观判断自身风险承受能力与证券交易涉及的各类金融产品的风险是否相匹配，审慎进行投资。您还应当遵循买者自负原则，不得以不符合投资者适当性条件为由拒绝承担科创板融资融券交易及交收责任。您通过书面或电子方式签署本《风险揭示书》，即表明您已经理解并愿意自行承担参与科创板融资融券交易的风险和损失。</w:t>
      </w:r>
    </w:p>
    <w:p>
      <w:pPr>
        <w:autoSpaceDE w:val="0"/>
        <w:autoSpaceDN w:val="0"/>
        <w:adjustRightInd w:val="0"/>
        <w:jc w:val="left"/>
        <w:rPr>
          <w:rFonts w:ascii="仿宋" w:hAnsi="仿宋" w:eastAsia="仿宋" w:cs="仿宋_GB2312"/>
          <w:kern w:val="0"/>
          <w:sz w:val="28"/>
          <w:szCs w:val="28"/>
        </w:rPr>
      </w:pPr>
    </w:p>
    <w:p>
      <w:pPr>
        <w:autoSpaceDE w:val="0"/>
        <w:autoSpaceDN w:val="0"/>
        <w:adjustRightInd w:val="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zh-CN"/>
        </w:rPr>
        <w:t>本人承诺：已充分了解在信用证券账户内进行科创板股票交易业务规则及全部风险，知晓在信用证券账户内开展科创板股票交易，尤其是进行融资买入或融券卖出交易将可能面临更大的风险。</w:t>
      </w:r>
    </w:p>
    <w:p>
      <w:pPr>
        <w:autoSpaceDE w:val="0"/>
        <w:autoSpaceDN w:val="0"/>
        <w:adjustRightInd w:val="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zh-CN"/>
        </w:rPr>
        <w:t>本人承诺：在本《风险揭示书》上签字，即表明本人已经完全理解并愿意自行承担在本人信用证券账户内参与科创板股票交易的全部风险和损失。</w:t>
      </w:r>
    </w:p>
    <w:p>
      <w:pPr>
        <w:autoSpaceDE w:val="0"/>
        <w:autoSpaceDN w:val="0"/>
        <w:adjustRightInd w:val="0"/>
        <w:jc w:val="left"/>
        <w:rPr>
          <w:rFonts w:ascii="仿宋" w:hAnsi="仿宋" w:eastAsia="仿宋" w:cs="仿宋_GB2312"/>
          <w:kern w:val="0"/>
          <w:sz w:val="24"/>
          <w:szCs w:val="24"/>
          <w:lang w:val="zh-CN"/>
        </w:rPr>
      </w:pPr>
      <w:r>
        <w:rPr>
          <w:rFonts w:hint="eastAsia" w:ascii="仿宋" w:hAnsi="仿宋" w:eastAsia="仿宋" w:cs="仿宋_GB2312"/>
          <w:kern w:val="0"/>
          <w:sz w:val="24"/>
          <w:szCs w:val="24"/>
          <w:lang w:val="zh-CN"/>
        </w:rPr>
        <w:t>本人承诺：本人不存在证券交易违法违规行为，无证监会失信平台登记的不良诚信记录；本人无证券经营机构的失信记录；本人不存在以下来源不良诚信记录，包括</w:t>
      </w:r>
      <w:r>
        <w:rPr>
          <w:rFonts w:hint="eastAsia" w:ascii="仿宋" w:hAnsi="仿宋" w:eastAsia="仿宋"/>
          <w:sz w:val="24"/>
          <w:szCs w:val="24"/>
        </w:rPr>
        <w:t>但不限于中国人民银行征信中心、最高人民法院失信被执行人名单、工商行政管理</w:t>
      </w:r>
      <w:r>
        <w:rPr>
          <w:rFonts w:hint="eastAsia" w:ascii="仿宋" w:hAnsi="仿宋" w:eastAsia="仿宋" w:cs="仿宋_GB2312"/>
          <w:kern w:val="0"/>
          <w:sz w:val="24"/>
          <w:szCs w:val="24"/>
          <w:lang w:val="zh-CN"/>
        </w:rPr>
        <w:t>机构、税务管理机构、监管机构、自律组织等机构；本人自愿承担因诚信状况失实而造成的全部风险和损失。</w:t>
      </w:r>
    </w:p>
    <w:p>
      <w:pPr>
        <w:autoSpaceDE w:val="0"/>
        <w:autoSpaceDN w:val="0"/>
        <w:adjustRightInd w:val="0"/>
        <w:jc w:val="left"/>
        <w:rPr>
          <w:rFonts w:ascii="仿宋" w:hAnsi="仿宋" w:eastAsia="仿宋" w:cs="仿宋_GB2312"/>
          <w:kern w:val="0"/>
          <w:sz w:val="24"/>
          <w:szCs w:val="24"/>
          <w:lang w:val="zh-CN"/>
        </w:rPr>
      </w:pPr>
    </w:p>
    <w:p>
      <w:pPr>
        <w:autoSpaceDE w:val="0"/>
        <w:autoSpaceDN w:val="0"/>
        <w:adjustRightInd w:val="0"/>
        <w:jc w:val="left"/>
        <w:rPr>
          <w:rFonts w:ascii="仿宋" w:hAnsi="仿宋" w:eastAsia="仿宋" w:cs="仿宋_GB2312"/>
          <w:kern w:val="0"/>
          <w:sz w:val="24"/>
          <w:szCs w:val="24"/>
          <w:lang w:val="zh-CN"/>
        </w:rPr>
      </w:pPr>
    </w:p>
    <w:p>
      <w:pPr>
        <w:autoSpaceDE w:val="0"/>
        <w:autoSpaceDN w:val="0"/>
        <w:adjustRightInd w:val="0"/>
        <w:jc w:val="left"/>
        <w:rPr>
          <w:rFonts w:ascii="仿宋" w:hAnsi="仿宋" w:eastAsia="仿宋" w:cs="仿宋_GB2312"/>
          <w:kern w:val="0"/>
          <w:sz w:val="24"/>
          <w:szCs w:val="24"/>
          <w:lang w:val="zh-CN"/>
        </w:rPr>
      </w:pPr>
    </w:p>
    <w:p>
      <w:pPr>
        <w:widowControl/>
        <w:spacing w:before="150" w:after="100" w:afterAutospacing="1"/>
        <w:jc w:val="left"/>
        <w:rPr>
          <w:rFonts w:ascii="仿宋" w:hAnsi="仿宋" w:eastAsia="仿宋"/>
          <w:sz w:val="28"/>
          <w:szCs w:val="28"/>
        </w:rPr>
      </w:pPr>
      <w:r>
        <w:rPr>
          <w:rFonts w:hint="eastAsia" w:ascii="仿宋" w:hAnsi="仿宋" w:eastAsia="仿宋"/>
          <w:sz w:val="28"/>
          <w:szCs w:val="28"/>
        </w:rPr>
        <w:t>客户号：</w:t>
      </w:r>
      <w:r>
        <w:rPr>
          <w:rFonts w:ascii="仿宋" w:hAnsi="仿宋" w:eastAsia="仿宋"/>
          <w:sz w:val="28"/>
          <w:szCs w:val="28"/>
        </w:rPr>
        <w:t xml:space="preserve">   </w:t>
      </w:r>
    </w:p>
    <w:p>
      <w:pPr>
        <w:widowControl/>
        <w:spacing w:before="150" w:after="100" w:afterAutospacing="1"/>
        <w:jc w:val="left"/>
        <w:rPr>
          <w:rFonts w:ascii="仿宋" w:hAnsi="仿宋" w:eastAsia="仿宋"/>
          <w:sz w:val="28"/>
          <w:szCs w:val="28"/>
        </w:rPr>
      </w:pPr>
      <w:r>
        <w:rPr>
          <w:rFonts w:ascii="仿宋" w:hAnsi="仿宋" w:eastAsia="仿宋"/>
          <w:sz w:val="28"/>
          <w:szCs w:val="28"/>
        </w:rPr>
        <w:t>(</w:t>
      </w:r>
      <w:r>
        <w:rPr>
          <w:rFonts w:hint="eastAsia" w:ascii="仿宋" w:hAnsi="仿宋" w:eastAsia="仿宋"/>
          <w:sz w:val="28"/>
          <w:szCs w:val="28"/>
        </w:rPr>
        <w:t>沪市信用证券账号</w:t>
      </w:r>
      <w:r>
        <w:rPr>
          <w:rFonts w:ascii="仿宋" w:hAnsi="仿宋" w:eastAsia="仿宋"/>
          <w:sz w:val="28"/>
          <w:szCs w:val="28"/>
        </w:rPr>
        <w:t>:                        )</w:t>
      </w:r>
    </w:p>
    <w:p>
      <w:pPr>
        <w:widowControl/>
        <w:spacing w:before="150" w:after="100" w:afterAutospacing="1"/>
        <w:jc w:val="left"/>
        <w:rPr>
          <w:rFonts w:ascii="仿宋" w:hAnsi="仿宋" w:eastAsia="仿宋"/>
          <w:sz w:val="28"/>
          <w:szCs w:val="28"/>
        </w:rPr>
      </w:pPr>
      <w:r>
        <w:rPr>
          <w:rFonts w:hint="eastAsia" w:ascii="仿宋" w:hAnsi="仿宋" w:eastAsia="仿宋"/>
          <w:sz w:val="28"/>
          <w:szCs w:val="28"/>
        </w:rPr>
        <w:t>个人投资者（签字）：</w:t>
      </w:r>
      <w:r>
        <w:rPr>
          <w:rFonts w:ascii="仿宋" w:hAnsi="仿宋" w:eastAsia="仿宋"/>
          <w:sz w:val="28"/>
          <w:szCs w:val="28"/>
        </w:rPr>
        <w:t xml:space="preserve">                    </w:t>
      </w:r>
    </w:p>
    <w:p>
      <w:pPr>
        <w:ind w:right="560"/>
        <w:rPr>
          <w:rFonts w:ascii="仿宋" w:hAnsi="仿宋" w:eastAsia="仿宋"/>
          <w:sz w:val="28"/>
          <w:szCs w:val="28"/>
        </w:rPr>
      </w:pPr>
      <w:r>
        <w:rPr>
          <w:rFonts w:hint="eastAsia" w:ascii="仿宋" w:hAnsi="仿宋" w:eastAsia="仿宋" w:cs="宋体"/>
          <w:bCs/>
          <w:kern w:val="0"/>
          <w:sz w:val="28"/>
          <w:szCs w:val="28"/>
        </w:rPr>
        <w:t>机构投资者加盖公章和授权经办人签字：</w:t>
      </w:r>
      <w:r>
        <w:rPr>
          <w:rFonts w:ascii="仿宋" w:hAnsi="仿宋" w:eastAsia="仿宋"/>
          <w:sz w:val="28"/>
          <w:szCs w:val="28"/>
        </w:rPr>
        <w:t xml:space="preserve">   </w:t>
      </w:r>
    </w:p>
    <w:p>
      <w:pPr>
        <w:widowControl/>
        <w:spacing w:before="150" w:after="100" w:afterAutospacing="1"/>
        <w:jc w:val="left"/>
        <w:rPr>
          <w:rFonts w:ascii="仿宋" w:hAnsi="仿宋" w:eastAsia="仿宋"/>
          <w:sz w:val="28"/>
          <w:szCs w:val="28"/>
        </w:rPr>
      </w:pPr>
      <w:r>
        <w:rPr>
          <w:rFonts w:hint="eastAsia" w:ascii="仿宋" w:hAnsi="仿宋" w:eastAsia="仿宋"/>
          <w:sz w:val="28"/>
          <w:szCs w:val="28"/>
        </w:rPr>
        <w:t>私募基金产品管理人（盖章）</w:t>
      </w:r>
    </w:p>
    <w:p>
      <w:pPr>
        <w:widowControl/>
        <w:spacing w:before="150" w:after="100" w:afterAutospacing="1"/>
        <w:jc w:val="left"/>
        <w:rPr>
          <w:rFonts w:ascii="仿宋" w:hAnsi="仿宋" w:eastAsia="仿宋"/>
          <w:sz w:val="28"/>
          <w:szCs w:val="28"/>
        </w:rPr>
      </w:pPr>
      <w:r>
        <w:rPr>
          <w:rFonts w:hint="eastAsia" w:ascii="仿宋" w:hAnsi="仿宋" w:eastAsia="仿宋"/>
          <w:sz w:val="28"/>
          <w:szCs w:val="28"/>
        </w:rPr>
        <w:t>私募基金产品管理人法定代表人/执行事务合伙人（签章）</w:t>
      </w:r>
      <w:r>
        <w:rPr>
          <w:rFonts w:ascii="仿宋" w:hAnsi="仿宋" w:eastAsia="仿宋"/>
          <w:sz w:val="28"/>
          <w:szCs w:val="28"/>
        </w:rPr>
        <w:t xml:space="preserve">   </w:t>
      </w:r>
    </w:p>
    <w:p>
      <w:pPr>
        <w:widowControl/>
        <w:spacing w:before="150" w:after="100" w:afterAutospacing="1"/>
        <w:jc w:val="left"/>
        <w:rPr>
          <w:rFonts w:ascii="仿宋" w:hAnsi="仿宋" w:eastAsia="仿宋"/>
          <w:sz w:val="28"/>
          <w:szCs w:val="28"/>
        </w:rPr>
      </w:pPr>
      <w:r>
        <w:rPr>
          <w:rFonts w:hint="eastAsia" w:ascii="仿宋" w:hAnsi="仿宋" w:eastAsia="仿宋"/>
          <w:sz w:val="28"/>
          <w:szCs w:val="28"/>
        </w:rPr>
        <w:t>私募基金产品管理人授权代表（签字）</w:t>
      </w:r>
      <w:r>
        <w:rPr>
          <w:rFonts w:ascii="仿宋" w:hAnsi="仿宋" w:eastAsia="仿宋"/>
          <w:sz w:val="28"/>
          <w:szCs w:val="28"/>
        </w:rPr>
        <w:t xml:space="preserve">                 </w:t>
      </w:r>
    </w:p>
    <w:p>
      <w:pPr>
        <w:rPr>
          <w:rFonts w:ascii="仿宋" w:hAnsi="仿宋" w:eastAsia="仿宋"/>
          <w:sz w:val="28"/>
          <w:szCs w:val="28"/>
        </w:rPr>
      </w:pPr>
      <w:r>
        <w:rPr>
          <w:rFonts w:hint="eastAsia" w:ascii="仿宋" w:hAnsi="仿宋" w:eastAsia="仿宋"/>
          <w:sz w:val="28"/>
          <w:szCs w:val="28"/>
        </w:rPr>
        <w:t>证券公司经办人（签章）</w:t>
      </w:r>
      <w:r>
        <w:rPr>
          <w:rFonts w:ascii="仿宋" w:hAnsi="仿宋" w:eastAsia="仿宋"/>
          <w:sz w:val="28"/>
          <w:szCs w:val="28"/>
        </w:rPr>
        <w:t xml:space="preserve"> </w:t>
      </w:r>
      <w:r>
        <w:rPr>
          <w:rFonts w:hint="eastAsia" w:ascii="仿宋" w:hAnsi="仿宋" w:eastAsia="仿宋"/>
          <w:sz w:val="28"/>
          <w:szCs w:val="28"/>
        </w:rPr>
        <w:t>：</w:t>
      </w:r>
      <w:r>
        <w:rPr>
          <w:rFonts w:ascii="仿宋" w:hAnsi="仿宋" w:eastAsia="仿宋"/>
          <w:sz w:val="28"/>
          <w:szCs w:val="28"/>
        </w:rPr>
        <w:t xml:space="preserve">           </w:t>
      </w:r>
      <w:r>
        <w:rPr>
          <w:rFonts w:hint="eastAsia" w:ascii="仿宋" w:hAnsi="仿宋" w:eastAsia="仿宋"/>
          <w:sz w:val="28"/>
          <w:szCs w:val="28"/>
        </w:rPr>
        <w:t>复核人（签章）：</w:t>
      </w:r>
      <w:r>
        <w:rPr>
          <w:rFonts w:ascii="仿宋" w:hAnsi="仿宋" w:eastAsia="仿宋"/>
          <w:sz w:val="28"/>
          <w:szCs w:val="28"/>
        </w:rPr>
        <w:t xml:space="preserve">     </w:t>
      </w:r>
    </w:p>
    <w:p>
      <w:pPr>
        <w:ind w:right="560"/>
        <w:rPr>
          <w:rFonts w:ascii="仿宋" w:hAnsi="仿宋" w:eastAsia="仿宋"/>
          <w:sz w:val="28"/>
          <w:szCs w:val="28"/>
        </w:rPr>
      </w:pPr>
      <w:r>
        <w:rPr>
          <w:rFonts w:hint="eastAsia" w:ascii="仿宋" w:hAnsi="仿宋" w:eastAsia="仿宋"/>
          <w:sz w:val="28"/>
          <w:szCs w:val="28"/>
        </w:rPr>
        <w:t>签署日期：</w:t>
      </w:r>
      <w:r>
        <w:rPr>
          <w:rFonts w:ascii="仿宋" w:hAnsi="仿宋" w:eastAsia="仿宋"/>
          <w:sz w:val="28"/>
          <w:szCs w:val="28"/>
        </w:rPr>
        <w:t xml:space="preserve">    </w:t>
      </w: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月</w:t>
      </w:r>
      <w:r>
        <w:rPr>
          <w:rFonts w:ascii="仿宋" w:hAnsi="仿宋" w:eastAsia="仿宋"/>
          <w:sz w:val="28"/>
          <w:szCs w:val="28"/>
        </w:rPr>
        <w:t xml:space="preserve">  </w:t>
      </w:r>
      <w:r>
        <w:rPr>
          <w:rFonts w:hint="eastAsia" w:ascii="仿宋" w:hAnsi="仿宋" w:eastAsia="仿宋"/>
          <w:sz w:val="28"/>
          <w:szCs w:val="28"/>
        </w:rPr>
        <w:t>日</w:t>
      </w:r>
    </w:p>
    <w:p>
      <w:pPr>
        <w:ind w:right="560"/>
        <w:rPr>
          <w:rFonts w:ascii="仿宋" w:hAnsi="仿宋" w:eastAsia="仿宋"/>
          <w:sz w:val="28"/>
          <w:szCs w:val="28"/>
        </w:rPr>
      </w:pPr>
    </w:p>
    <w:sectPr>
      <w:footerReference r:id="rId3" w:type="default"/>
      <w:pgSz w:w="11906" w:h="16838"/>
      <w:pgMar w:top="558" w:right="900" w:bottom="380" w:left="9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ZD Extra JW">
    <w:altName w:val="微软雅黑"/>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 PAGE   \* MERGEFORMAT </w:instrText>
    </w:r>
    <w:r>
      <w:fldChar w:fldCharType="separate"/>
    </w:r>
    <w:r>
      <w:rPr>
        <w:lang w:val="zh-CN"/>
      </w:rPr>
      <w:t>2</w:t>
    </w:r>
    <w:r>
      <w:rPr>
        <w:lang w:val="zh-C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EA"/>
    <w:rsid w:val="00000515"/>
    <w:rsid w:val="000162DA"/>
    <w:rsid w:val="00020B23"/>
    <w:rsid w:val="00057E16"/>
    <w:rsid w:val="00063477"/>
    <w:rsid w:val="00064484"/>
    <w:rsid w:val="000742FF"/>
    <w:rsid w:val="00085731"/>
    <w:rsid w:val="000B4A34"/>
    <w:rsid w:val="000D4B0F"/>
    <w:rsid w:val="000E7CB1"/>
    <w:rsid w:val="000F5221"/>
    <w:rsid w:val="000F5FE6"/>
    <w:rsid w:val="001008FA"/>
    <w:rsid w:val="00116639"/>
    <w:rsid w:val="00152359"/>
    <w:rsid w:val="001A21BE"/>
    <w:rsid w:val="001C438D"/>
    <w:rsid w:val="001D0C07"/>
    <w:rsid w:val="001E2CE6"/>
    <w:rsid w:val="001E3167"/>
    <w:rsid w:val="00234B47"/>
    <w:rsid w:val="002448E2"/>
    <w:rsid w:val="00245295"/>
    <w:rsid w:val="00247725"/>
    <w:rsid w:val="00281C88"/>
    <w:rsid w:val="002B35D7"/>
    <w:rsid w:val="002D5F88"/>
    <w:rsid w:val="002D73B2"/>
    <w:rsid w:val="002E4093"/>
    <w:rsid w:val="002F1AD6"/>
    <w:rsid w:val="0030326E"/>
    <w:rsid w:val="00304465"/>
    <w:rsid w:val="00305EAC"/>
    <w:rsid w:val="00313D71"/>
    <w:rsid w:val="00354DB0"/>
    <w:rsid w:val="00390A02"/>
    <w:rsid w:val="003967C5"/>
    <w:rsid w:val="003A0D66"/>
    <w:rsid w:val="003B73C3"/>
    <w:rsid w:val="003C48F8"/>
    <w:rsid w:val="003C570C"/>
    <w:rsid w:val="003D7D68"/>
    <w:rsid w:val="00405716"/>
    <w:rsid w:val="00407317"/>
    <w:rsid w:val="00415AB7"/>
    <w:rsid w:val="004262AB"/>
    <w:rsid w:val="004405F1"/>
    <w:rsid w:val="00440C46"/>
    <w:rsid w:val="004434FF"/>
    <w:rsid w:val="0045053D"/>
    <w:rsid w:val="00450859"/>
    <w:rsid w:val="00457AD0"/>
    <w:rsid w:val="00481E64"/>
    <w:rsid w:val="00491C41"/>
    <w:rsid w:val="00497D3F"/>
    <w:rsid w:val="004B49CB"/>
    <w:rsid w:val="004B6753"/>
    <w:rsid w:val="004B732A"/>
    <w:rsid w:val="004C3912"/>
    <w:rsid w:val="004C6DEE"/>
    <w:rsid w:val="004E25DC"/>
    <w:rsid w:val="004E46BB"/>
    <w:rsid w:val="004F11D2"/>
    <w:rsid w:val="004F1EB0"/>
    <w:rsid w:val="00501FBB"/>
    <w:rsid w:val="00511C28"/>
    <w:rsid w:val="00541EC6"/>
    <w:rsid w:val="00560250"/>
    <w:rsid w:val="0057381D"/>
    <w:rsid w:val="005B4DD5"/>
    <w:rsid w:val="005B4E15"/>
    <w:rsid w:val="005B7AAF"/>
    <w:rsid w:val="005C14B5"/>
    <w:rsid w:val="005C300A"/>
    <w:rsid w:val="005E0D43"/>
    <w:rsid w:val="00600C71"/>
    <w:rsid w:val="006073BB"/>
    <w:rsid w:val="0062376A"/>
    <w:rsid w:val="00683411"/>
    <w:rsid w:val="006A0979"/>
    <w:rsid w:val="006C67DB"/>
    <w:rsid w:val="006D51FF"/>
    <w:rsid w:val="006F156A"/>
    <w:rsid w:val="006F265C"/>
    <w:rsid w:val="006F465B"/>
    <w:rsid w:val="00720E69"/>
    <w:rsid w:val="00725D51"/>
    <w:rsid w:val="00734F86"/>
    <w:rsid w:val="00741F14"/>
    <w:rsid w:val="007500AB"/>
    <w:rsid w:val="00763704"/>
    <w:rsid w:val="00766350"/>
    <w:rsid w:val="0078378C"/>
    <w:rsid w:val="00785D5D"/>
    <w:rsid w:val="00787C37"/>
    <w:rsid w:val="007B50A4"/>
    <w:rsid w:val="007B6492"/>
    <w:rsid w:val="007C595D"/>
    <w:rsid w:val="007D21FB"/>
    <w:rsid w:val="007D6071"/>
    <w:rsid w:val="007E5E3B"/>
    <w:rsid w:val="007E6021"/>
    <w:rsid w:val="008173B3"/>
    <w:rsid w:val="00822474"/>
    <w:rsid w:val="008347A0"/>
    <w:rsid w:val="008A7D4F"/>
    <w:rsid w:val="008B0F6A"/>
    <w:rsid w:val="008B4643"/>
    <w:rsid w:val="008B63A8"/>
    <w:rsid w:val="008D014F"/>
    <w:rsid w:val="008E0F65"/>
    <w:rsid w:val="009009B8"/>
    <w:rsid w:val="00902220"/>
    <w:rsid w:val="009267CC"/>
    <w:rsid w:val="00944882"/>
    <w:rsid w:val="009476C9"/>
    <w:rsid w:val="00957A82"/>
    <w:rsid w:val="009650AB"/>
    <w:rsid w:val="0096577F"/>
    <w:rsid w:val="00980F0A"/>
    <w:rsid w:val="009821B6"/>
    <w:rsid w:val="009B3E5A"/>
    <w:rsid w:val="009B4C5D"/>
    <w:rsid w:val="009C46A0"/>
    <w:rsid w:val="009C7D48"/>
    <w:rsid w:val="009E1B87"/>
    <w:rsid w:val="009E7F7D"/>
    <w:rsid w:val="009F58AE"/>
    <w:rsid w:val="00A31901"/>
    <w:rsid w:val="00A35FF2"/>
    <w:rsid w:val="00A37BC0"/>
    <w:rsid w:val="00A4615E"/>
    <w:rsid w:val="00A801AB"/>
    <w:rsid w:val="00A80607"/>
    <w:rsid w:val="00A8521D"/>
    <w:rsid w:val="00AA07E1"/>
    <w:rsid w:val="00AB2BF7"/>
    <w:rsid w:val="00AB7410"/>
    <w:rsid w:val="00AE36D4"/>
    <w:rsid w:val="00AE46F0"/>
    <w:rsid w:val="00AF60D8"/>
    <w:rsid w:val="00B07E77"/>
    <w:rsid w:val="00B22E1A"/>
    <w:rsid w:val="00B34092"/>
    <w:rsid w:val="00B35561"/>
    <w:rsid w:val="00B52F38"/>
    <w:rsid w:val="00B60B51"/>
    <w:rsid w:val="00B63CD0"/>
    <w:rsid w:val="00B93200"/>
    <w:rsid w:val="00BA5266"/>
    <w:rsid w:val="00BA6A85"/>
    <w:rsid w:val="00BC63A2"/>
    <w:rsid w:val="00BC7CCA"/>
    <w:rsid w:val="00BD5CEA"/>
    <w:rsid w:val="00BE3173"/>
    <w:rsid w:val="00BE5CBD"/>
    <w:rsid w:val="00BF733F"/>
    <w:rsid w:val="00C24F0A"/>
    <w:rsid w:val="00C30DE8"/>
    <w:rsid w:val="00C52D74"/>
    <w:rsid w:val="00C55118"/>
    <w:rsid w:val="00C6050F"/>
    <w:rsid w:val="00C64B86"/>
    <w:rsid w:val="00C82692"/>
    <w:rsid w:val="00C96624"/>
    <w:rsid w:val="00CA0CF9"/>
    <w:rsid w:val="00CA1231"/>
    <w:rsid w:val="00CF02F8"/>
    <w:rsid w:val="00D22A35"/>
    <w:rsid w:val="00D330BA"/>
    <w:rsid w:val="00D34A1B"/>
    <w:rsid w:val="00D41A5B"/>
    <w:rsid w:val="00D45E1F"/>
    <w:rsid w:val="00D5664C"/>
    <w:rsid w:val="00D63B5F"/>
    <w:rsid w:val="00D7064F"/>
    <w:rsid w:val="00D92AA9"/>
    <w:rsid w:val="00DC2B25"/>
    <w:rsid w:val="00DE1432"/>
    <w:rsid w:val="00E049EA"/>
    <w:rsid w:val="00E07640"/>
    <w:rsid w:val="00E40E81"/>
    <w:rsid w:val="00E44FC9"/>
    <w:rsid w:val="00E63006"/>
    <w:rsid w:val="00E64C0F"/>
    <w:rsid w:val="00E7047F"/>
    <w:rsid w:val="00E8226D"/>
    <w:rsid w:val="00E90C8F"/>
    <w:rsid w:val="00EA01A9"/>
    <w:rsid w:val="00EB617A"/>
    <w:rsid w:val="00ED2383"/>
    <w:rsid w:val="00ED3D42"/>
    <w:rsid w:val="00EE2D5E"/>
    <w:rsid w:val="00EE3F0E"/>
    <w:rsid w:val="00F41C72"/>
    <w:rsid w:val="00F47427"/>
    <w:rsid w:val="00F51023"/>
    <w:rsid w:val="00F72ECE"/>
    <w:rsid w:val="00F80DFE"/>
    <w:rsid w:val="00F87674"/>
    <w:rsid w:val="00F900A1"/>
    <w:rsid w:val="00F96EC7"/>
    <w:rsid w:val="00FA141E"/>
    <w:rsid w:val="00FC1A0C"/>
    <w:rsid w:val="00FC3AC3"/>
    <w:rsid w:val="00FC53B8"/>
    <w:rsid w:val="00FC697E"/>
    <w:rsid w:val="00FC75F6"/>
    <w:rsid w:val="01F84CCA"/>
    <w:rsid w:val="02D54924"/>
    <w:rsid w:val="03F83A68"/>
    <w:rsid w:val="04696F0D"/>
    <w:rsid w:val="0492539E"/>
    <w:rsid w:val="0717375D"/>
    <w:rsid w:val="0A146C63"/>
    <w:rsid w:val="0A1D176E"/>
    <w:rsid w:val="0BE3650F"/>
    <w:rsid w:val="0C6B2CE7"/>
    <w:rsid w:val="143A53BF"/>
    <w:rsid w:val="19B17A41"/>
    <w:rsid w:val="2044337B"/>
    <w:rsid w:val="20F1259A"/>
    <w:rsid w:val="22105FB5"/>
    <w:rsid w:val="2420270D"/>
    <w:rsid w:val="25626F11"/>
    <w:rsid w:val="25B30E30"/>
    <w:rsid w:val="2629652F"/>
    <w:rsid w:val="268663C4"/>
    <w:rsid w:val="272C6B52"/>
    <w:rsid w:val="2892519F"/>
    <w:rsid w:val="2A1A5F20"/>
    <w:rsid w:val="2C1B0EE8"/>
    <w:rsid w:val="2DFF0D3D"/>
    <w:rsid w:val="30BD0559"/>
    <w:rsid w:val="3125512E"/>
    <w:rsid w:val="31556D07"/>
    <w:rsid w:val="323219BF"/>
    <w:rsid w:val="354635F4"/>
    <w:rsid w:val="378E6BC0"/>
    <w:rsid w:val="390A1F4D"/>
    <w:rsid w:val="39463B04"/>
    <w:rsid w:val="3A4614A9"/>
    <w:rsid w:val="3DD119FA"/>
    <w:rsid w:val="3E675770"/>
    <w:rsid w:val="3EC22607"/>
    <w:rsid w:val="405939A2"/>
    <w:rsid w:val="40956770"/>
    <w:rsid w:val="44C24820"/>
    <w:rsid w:val="44CE1D96"/>
    <w:rsid w:val="47AB2FA4"/>
    <w:rsid w:val="49EC478F"/>
    <w:rsid w:val="4A8D525B"/>
    <w:rsid w:val="4BAD69B7"/>
    <w:rsid w:val="4E7D54D1"/>
    <w:rsid w:val="50943942"/>
    <w:rsid w:val="50CE3F0E"/>
    <w:rsid w:val="52CF3E41"/>
    <w:rsid w:val="52D82877"/>
    <w:rsid w:val="541066FB"/>
    <w:rsid w:val="546A3673"/>
    <w:rsid w:val="555C55D4"/>
    <w:rsid w:val="55865C8E"/>
    <w:rsid w:val="58AC4B82"/>
    <w:rsid w:val="5A6B64E6"/>
    <w:rsid w:val="5DA80EB7"/>
    <w:rsid w:val="609331BA"/>
    <w:rsid w:val="62F84252"/>
    <w:rsid w:val="65837118"/>
    <w:rsid w:val="671B5F35"/>
    <w:rsid w:val="68FA7F03"/>
    <w:rsid w:val="6AD227CD"/>
    <w:rsid w:val="6B0542A1"/>
    <w:rsid w:val="6B401C1A"/>
    <w:rsid w:val="6CDC3EA7"/>
    <w:rsid w:val="6D087A65"/>
    <w:rsid w:val="6D2B27B8"/>
    <w:rsid w:val="6DE90B62"/>
    <w:rsid w:val="6E3269D7"/>
    <w:rsid w:val="6E360C61"/>
    <w:rsid w:val="6E400B9E"/>
    <w:rsid w:val="6F3D4EC9"/>
    <w:rsid w:val="72FA37FB"/>
    <w:rsid w:val="749E2864"/>
    <w:rsid w:val="7589599A"/>
    <w:rsid w:val="777B6942"/>
    <w:rsid w:val="77BC2750"/>
    <w:rsid w:val="785734EF"/>
    <w:rsid w:val="7A3F6C1D"/>
    <w:rsid w:val="7B9B6ED9"/>
    <w:rsid w:val="7D813877"/>
    <w:rsid w:val="7E7D50B2"/>
    <w:rsid w:val="7FAB1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semiHidden/>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FZZD Extra JW" w:hAnsi="Calibri" w:eastAsia="FZZD Extra JW" w:cs="FZZD Extra JW"/>
      <w:color w:val="000000"/>
      <w:sz w:val="24"/>
      <w:szCs w:val="24"/>
      <w:lang w:val="en-US" w:eastAsia="zh-CN" w:bidi="ar-SA"/>
    </w:rPr>
  </w:style>
  <w:style w:type="character" w:customStyle="1" w:styleId="13">
    <w:name w:val="批注框文本 字符"/>
    <w:basedOn w:val="8"/>
    <w:link w:val="3"/>
    <w:semiHidden/>
    <w:qFormat/>
    <w:uiPriority w:val="99"/>
    <w:rPr>
      <w:rFonts w:ascii="Calibri" w:hAnsi="Calibri" w:eastAsia="宋体" w:cs="Times New Roman"/>
      <w:sz w:val="18"/>
      <w:szCs w:val="18"/>
    </w:rPr>
  </w:style>
  <w:style w:type="character" w:customStyle="1" w:styleId="14">
    <w:name w:val="批注文字 字符"/>
    <w:basedOn w:val="8"/>
    <w:link w:val="2"/>
    <w:semiHidden/>
    <w:qFormat/>
    <w:uiPriority w:val="99"/>
    <w:rPr>
      <w:rFonts w:ascii="Calibri" w:hAnsi="Calibri" w:eastAsia="宋体" w:cs="Times New Roman"/>
      <w:kern w:val="2"/>
      <w:sz w:val="21"/>
      <w:szCs w:val="22"/>
    </w:rPr>
  </w:style>
  <w:style w:type="character" w:customStyle="1" w:styleId="15">
    <w:name w:val="批注主题 字符"/>
    <w:basedOn w:val="14"/>
    <w:link w:val="6"/>
    <w:semiHidden/>
    <w:qFormat/>
    <w:uiPriority w:val="99"/>
    <w:rPr>
      <w:rFonts w:ascii="Calibri" w:hAnsi="Calibri" w:eastAsia="宋体" w:cs="Times New Roman"/>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3709</Words>
  <Characters>21145</Characters>
  <Lines>176</Lines>
  <Paragraphs>49</Paragraphs>
  <TotalTime>14</TotalTime>
  <ScaleCrop>false</ScaleCrop>
  <LinksUpToDate>false</LinksUpToDate>
  <CharactersWithSpaces>24805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2025-07-24T01:22:00Z</dcterms:created>
  <dc:creator>赵晓琴</dc:creator>
  <cp:lastModifiedBy>zhaoxiaoqin</cp:lastModifiedBy>
  <dcterms:modified xsi:type="dcterms:W3CDTF">2026-06-03T01:51:47Z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911341230F594C5FBA45C4CD9BF25BB6</vt:lpwstr>
  </property>
</Properties>
</file>