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Times New Roman"/>
          <w:b/>
          <w:spacing w:val="-20"/>
          <w:sz w:val="28"/>
          <w:szCs w:val="28"/>
        </w:rPr>
      </w:pPr>
      <w:r>
        <w:rPr>
          <w:rFonts w:hint="eastAsia" w:ascii="仿宋" w:hAnsi="仿宋" w:eastAsia="仿宋" w:cs="Times New Roman"/>
          <w:b/>
          <w:spacing w:val="-20"/>
          <w:sz w:val="28"/>
          <w:szCs w:val="28"/>
        </w:rPr>
        <w:t>中银国际证券股份有限公司</w:t>
      </w:r>
    </w:p>
    <w:p>
      <w:pPr>
        <w:spacing w:line="560" w:lineRule="exact"/>
        <w:jc w:val="center"/>
        <w:rPr>
          <w:rFonts w:hint="eastAsia" w:ascii="仿宋" w:hAnsi="仿宋" w:eastAsia="仿宋" w:cs="Times New Roman"/>
          <w:b/>
          <w:spacing w:val="-20"/>
          <w:sz w:val="28"/>
          <w:szCs w:val="28"/>
        </w:rPr>
      </w:pPr>
      <w:r>
        <w:rPr>
          <w:rFonts w:hint="eastAsia" w:ascii="仿宋" w:hAnsi="仿宋" w:eastAsia="仿宋" w:cs="Times New Roman"/>
          <w:b/>
          <w:spacing w:val="-20"/>
          <w:sz w:val="28"/>
          <w:szCs w:val="28"/>
        </w:rPr>
        <w:t>深市退市整理股票交易风险揭示书</w:t>
      </w:r>
    </w:p>
    <w:p>
      <w:pPr>
        <w:spacing w:line="560" w:lineRule="exact"/>
        <w:jc w:val="center"/>
        <w:rPr>
          <w:rFonts w:hint="eastAsia" w:ascii="仿宋" w:hAnsi="仿宋" w:eastAsia="仿宋" w:cs="Times New Roman"/>
          <w:b/>
          <w:spacing w:val="-20"/>
          <w:sz w:val="28"/>
          <w:szCs w:val="28"/>
          <w:lang w:eastAsia="zh-CN"/>
        </w:rPr>
      </w:pPr>
      <w:r>
        <w:rPr>
          <w:rFonts w:hint="eastAsia" w:ascii="仿宋" w:hAnsi="仿宋" w:eastAsia="仿宋" w:cs="Times New Roman"/>
          <w:b/>
          <w:spacing w:val="-20"/>
          <w:sz w:val="28"/>
          <w:szCs w:val="28"/>
          <w:lang w:eastAsia="zh-CN"/>
        </w:rPr>
        <w:t>（</w:t>
      </w:r>
      <w:r>
        <w:rPr>
          <w:rFonts w:hint="eastAsia" w:ascii="仿宋" w:hAnsi="仿宋" w:eastAsia="仿宋" w:cs="Times New Roman"/>
          <w:b/>
          <w:spacing w:val="-20"/>
          <w:sz w:val="28"/>
          <w:szCs w:val="28"/>
          <w:lang w:val="en-US" w:eastAsia="zh-CN"/>
        </w:rPr>
        <w:t>2026年版</w:t>
      </w:r>
      <w:r>
        <w:rPr>
          <w:rFonts w:hint="eastAsia" w:ascii="仿宋" w:hAnsi="仿宋" w:eastAsia="仿宋" w:cs="Times New Roman"/>
          <w:b/>
          <w:spacing w:val="-20"/>
          <w:sz w:val="28"/>
          <w:szCs w:val="28"/>
          <w:lang w:eastAsia="zh-CN"/>
        </w:rPr>
        <w:t>）</w:t>
      </w:r>
    </w:p>
    <w:p>
      <w:pPr>
        <w:pStyle w:val="3"/>
        <w:spacing w:line="560" w:lineRule="exact"/>
        <w:rPr>
          <w:rFonts w:ascii="仿宋" w:hAnsi="仿宋" w:eastAsia="仿宋" w:cs="Arial"/>
          <w:color w:val="000000"/>
          <w:sz w:val="28"/>
          <w:szCs w:val="28"/>
        </w:rPr>
      </w:pPr>
      <w:r>
        <w:rPr>
          <w:rFonts w:ascii="仿宋" w:hAnsi="仿宋" w:eastAsia="仿宋" w:cs="Arial"/>
          <w:color w:val="000000"/>
          <w:sz w:val="28"/>
          <w:szCs w:val="28"/>
        </w:rPr>
        <w:t>尊敬的投资者</w:t>
      </w:r>
      <w:r>
        <w:rPr>
          <w:rFonts w:hint="eastAsia" w:ascii="仿宋" w:hAnsi="仿宋" w:eastAsia="仿宋" w:cs="Arial"/>
          <w:color w:val="000000"/>
          <w:sz w:val="28"/>
          <w:szCs w:val="28"/>
        </w:rPr>
        <w:t>：</w:t>
      </w:r>
    </w:p>
    <w:p>
      <w:pPr>
        <w:pStyle w:val="3"/>
        <w:spacing w:line="560" w:lineRule="exact"/>
        <w:ind w:firstLine="560" w:firstLineChars="200"/>
        <w:rPr>
          <w:rFonts w:ascii="仿宋" w:hAnsi="仿宋" w:eastAsia="仿宋" w:cs="Arial"/>
          <w:color w:val="000000"/>
          <w:sz w:val="28"/>
          <w:szCs w:val="28"/>
        </w:rPr>
      </w:pPr>
      <w:r>
        <w:rPr>
          <w:rFonts w:ascii="仿宋" w:hAnsi="仿宋" w:eastAsia="仿宋" w:cs="Arial"/>
          <w:color w:val="000000"/>
          <w:sz w:val="28"/>
          <w:szCs w:val="28"/>
        </w:rPr>
        <w:t>中银国际证券股份有限公司提醒投资者仔细阅读下面的内容</w:t>
      </w:r>
      <w:r>
        <w:rPr>
          <w:rFonts w:hint="eastAsia" w:ascii="仿宋" w:hAnsi="仿宋" w:eastAsia="仿宋" w:cs="Arial"/>
          <w:color w:val="000000"/>
          <w:sz w:val="28"/>
          <w:szCs w:val="28"/>
        </w:rPr>
        <w:t>，</w:t>
      </w:r>
      <w:r>
        <w:rPr>
          <w:rFonts w:ascii="仿宋" w:hAnsi="仿宋" w:eastAsia="仿宋" w:cs="Arial"/>
          <w:color w:val="000000"/>
          <w:sz w:val="28"/>
          <w:szCs w:val="28"/>
        </w:rPr>
        <w:t>以便正确</w:t>
      </w:r>
      <w:r>
        <w:rPr>
          <w:rFonts w:hint="eastAsia" w:ascii="仿宋" w:hAnsi="仿宋" w:eastAsia="仿宋" w:cs="Arial"/>
          <w:color w:val="000000"/>
          <w:sz w:val="28"/>
          <w:szCs w:val="28"/>
        </w:rPr>
        <w:t>、</w:t>
      </w:r>
      <w:r>
        <w:rPr>
          <w:rFonts w:ascii="仿宋" w:hAnsi="仿宋" w:eastAsia="仿宋" w:cs="Arial"/>
          <w:color w:val="000000"/>
          <w:sz w:val="28"/>
          <w:szCs w:val="28"/>
        </w:rPr>
        <w:t>全面地了解被深交所作出终止上市决定但处于退市整理期尚未摘牌的股票（以下简称</w:t>
      </w:r>
      <w:r>
        <w:rPr>
          <w:rFonts w:hint="eastAsia" w:ascii="仿宋" w:hAnsi="仿宋" w:eastAsia="仿宋" w:cs="Arial"/>
          <w:color w:val="000000"/>
          <w:sz w:val="28"/>
          <w:szCs w:val="28"/>
        </w:rPr>
        <w:t>“</w:t>
      </w:r>
      <w:r>
        <w:rPr>
          <w:rFonts w:ascii="仿宋" w:hAnsi="仿宋" w:eastAsia="仿宋" w:cs="Arial"/>
          <w:color w:val="000000"/>
          <w:sz w:val="28"/>
          <w:szCs w:val="28"/>
        </w:rPr>
        <w:t>退市整理股票</w:t>
      </w:r>
      <w:r>
        <w:rPr>
          <w:rFonts w:hint="eastAsia" w:ascii="仿宋" w:hAnsi="仿宋" w:eastAsia="仿宋" w:cs="Arial"/>
          <w:color w:val="000000"/>
          <w:sz w:val="28"/>
          <w:szCs w:val="28"/>
        </w:rPr>
        <w:t>”</w:t>
      </w:r>
      <w:r>
        <w:rPr>
          <w:rFonts w:ascii="仿宋" w:hAnsi="仿宋" w:eastAsia="仿宋" w:cs="Arial"/>
          <w:color w:val="000000"/>
          <w:sz w:val="28"/>
          <w:szCs w:val="28"/>
        </w:rPr>
        <w:t>）的交易风险：</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一、投资者在参与退市整理股票交易前，应充分了解退市相关规则、退市整理股票交易规定和进入退市整理期上市公司的基本面情况，并根据自身财务状况、实际需求及风险承受能力等，审慎考虑是否买入退市整理股票。</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二、上市公司被证券交易所作出终止上市的决定可能为以下原因：交易类原因、财务类原因、规范类原因、重大违法或者公司主动终止上市。因财务类、规范类、重大违法相关规定被证券交易所作出终止上市决定的，上市公司股票自公告终止上市决定之日起五个交易日后的次一交易日复牌并进入退市整理期交易。投资者应当知悉相关股票终止上市的原因，注意相关风险。</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三、股票进入退市整理期后证券代码不变，股票简称后冠以“退”标识，退市整理股票进入风险警示板交易，行情揭示可能与其他股票不同。</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四、股票进入退市整理期的首个交易日不实行价格涨跌幅限制，交易价格波动幅度可能较大，投资者应当注意价格大幅波动风险。</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不实行价格涨跌幅限制的退市整理股票交易，实施盘中临时停牌制度，投资者应当了解盘中临时停牌相关规定。</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五、退市整理股票的交易可能存在流动性风险，投资者买入后可能因无法在股票终止上市前及时卖出所持股票而导致损失。</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六、退市整理期的交易期限仅为十五个交易日，退市整理股票将于退市整理期届满的次一交易日摘牌，公司股票终止上市。投资者应当密切关注退市整理股票的剩余交易日和最后交易日，否则有可能错失卖出机会，造成不必要的损失。</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股票全天停牌的，停牌期间不计入退市整理期。</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七、投资者应当特别关注上市公司退市整理期间发布的提示性公告，及时从上市公司网站、证券交易所网站、符合中国证监会规定条件的信息披露媒体以及证券公司网站等渠道获取相关信息。</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八、按照现行规定，除触及欺诈发行强制退市的公司外，上市公司股票被终止上市后可以向证券交易所申请重新上市，但须达到证券交易所规定的重新上市条件，能否重新上市存在较大的不确定性。</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九、</w:t>
      </w:r>
      <w:bookmarkStart w:id="0" w:name="_GoBack"/>
      <w:bookmarkEnd w:id="0"/>
      <w:r>
        <w:rPr>
          <w:rFonts w:hint="eastAsia" w:ascii="仿宋" w:hAnsi="仿宋" w:eastAsia="仿宋"/>
          <w:sz w:val="28"/>
          <w:szCs w:val="28"/>
          <w:highlight w:val="none"/>
        </w:rPr>
        <w:t>投资者应持续关注已持有及拟投资的上市公司股票后续可能</w:t>
      </w:r>
      <w:r>
        <w:rPr>
          <w:rFonts w:hint="eastAsia" w:ascii="仿宋" w:hAnsi="仿宋" w:eastAsia="仿宋"/>
          <w:sz w:val="28"/>
          <w:szCs w:val="28"/>
          <w:highlight w:val="none"/>
          <w:lang w:val="en-US" w:eastAsia="zh-CN"/>
        </w:rPr>
        <w:t>触及相关</w:t>
      </w:r>
      <w:r>
        <w:rPr>
          <w:rFonts w:hint="eastAsia" w:ascii="仿宋" w:hAnsi="仿宋" w:eastAsia="仿宋"/>
          <w:sz w:val="28"/>
          <w:szCs w:val="28"/>
          <w:highlight w:val="none"/>
        </w:rPr>
        <w:t>退市情形而被终止上市的情况，</w:t>
      </w:r>
      <w:r>
        <w:rPr>
          <w:rFonts w:hint="eastAsia" w:ascii="仿宋" w:hAnsi="仿宋" w:eastAsia="仿宋" w:cs="Arial"/>
          <w:color w:val="000000"/>
          <w:sz w:val="28"/>
          <w:szCs w:val="28"/>
          <w:highlight w:val="none"/>
        </w:rPr>
        <w:t>及时从上市公司网站、证</w:t>
      </w:r>
      <w:r>
        <w:rPr>
          <w:rFonts w:hint="eastAsia" w:ascii="仿宋" w:hAnsi="仿宋" w:eastAsia="仿宋" w:cs="Arial"/>
          <w:color w:val="000000"/>
          <w:sz w:val="28"/>
          <w:szCs w:val="28"/>
        </w:rPr>
        <w:t>券交易所网站、符合中国证监会规定条件的信息披露媒体以及证券公司网站等渠道获取相关信息。</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十、退市整理股票相关法律、行政法规、部门规章、规范性文件（以下简称法律法规）、证券交易所和登记结算机构业务规则可能根据市场情况进行制定、废止和修改，投资者应当及时予以关注和了解。</w:t>
      </w:r>
    </w:p>
    <w:p>
      <w:pPr>
        <w:pStyle w:val="3"/>
        <w:spacing w:line="560" w:lineRule="exact"/>
        <w:rPr>
          <w:rFonts w:ascii="仿宋" w:hAnsi="仿宋" w:eastAsia="仿宋" w:cs="Arial"/>
          <w:color w:val="000000"/>
          <w:sz w:val="28"/>
          <w:szCs w:val="28"/>
        </w:rPr>
      </w:pPr>
      <w:r>
        <w:rPr>
          <w:rFonts w:hint="eastAsia" w:ascii="仿宋" w:hAnsi="仿宋" w:eastAsia="仿宋" w:cs="Arial"/>
          <w:color w:val="000000"/>
          <w:sz w:val="28"/>
          <w:szCs w:val="28"/>
        </w:rPr>
        <w:t>中银国际证券股份有限公司郑重提醒：</w:t>
      </w:r>
    </w:p>
    <w:p>
      <w:pPr>
        <w:spacing w:line="560" w:lineRule="exact"/>
        <w:ind w:firstLine="562" w:firstLineChars="200"/>
        <w:rPr>
          <w:rFonts w:ascii="仿宋" w:hAnsi="仿宋" w:eastAsia="仿宋" w:cs="Arial"/>
          <w:b/>
          <w:color w:val="000000"/>
          <w:sz w:val="28"/>
          <w:szCs w:val="28"/>
        </w:rPr>
      </w:pPr>
      <w:r>
        <w:rPr>
          <w:rFonts w:hint="eastAsia" w:ascii="仿宋" w:hAnsi="仿宋" w:eastAsia="仿宋" w:cs="Arial"/>
          <w:b/>
          <w:color w:val="000000"/>
          <w:sz w:val="28"/>
          <w:szCs w:val="28"/>
        </w:rPr>
        <w:t>本《风险揭示书》的提示事项仅为列举性质，未能详尽列明退市整理股票交易的所有风险，投资者在参与交易前，应当认真阅读有关法律法规、证券交易所和登记结算机构业务规则等相关规定，对其他可能存在的风险因素也应当有所了解和掌握，并确信自己已做好足够的风险评估与财务安排，避免因参与退市整理股票交易遭受难以承受的损失。</w:t>
      </w:r>
    </w:p>
    <w:p>
      <w:pPr>
        <w:pStyle w:val="3"/>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投资者委托买入退市整理股票可通过我司网上交易客户端(含移动客户端)、开户分支机构现场等渠道进行操作。</w:t>
      </w:r>
    </w:p>
    <w:p>
      <w:pPr>
        <w:pStyle w:val="3"/>
        <w:spacing w:line="60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本人/机构确认已知晓并理解《风险揭示书》的全部内容，已理解并愿意自行承担参与退市整理股票交易的风险和损失。</w:t>
      </w:r>
    </w:p>
    <w:p>
      <w:pPr>
        <w:pStyle w:val="2"/>
        <w:spacing w:line="240" w:lineRule="exact"/>
        <w:ind w:firstLine="0" w:firstLineChars="0"/>
        <w:rPr>
          <w:rFonts w:ascii="仿宋" w:hAnsi="仿宋" w:eastAsia="仿宋" w:cs="Arial"/>
          <w:color w:val="000000"/>
          <w:sz w:val="28"/>
          <w:szCs w:val="28"/>
        </w:rPr>
      </w:pPr>
    </w:p>
    <w:p>
      <w:pPr>
        <w:spacing w:line="360" w:lineRule="auto"/>
        <w:rPr>
          <w:rFonts w:ascii="仿宋" w:hAnsi="仿宋" w:eastAsia="仿宋" w:cs="Times New Roman"/>
          <w:sz w:val="28"/>
          <w:szCs w:val="28"/>
        </w:rPr>
      </w:pPr>
      <w:r>
        <w:rPr>
          <w:rFonts w:hint="eastAsia" w:ascii="仿宋" w:hAnsi="仿宋" w:eastAsia="仿宋" w:cs="Times New Roman"/>
          <w:sz w:val="28"/>
          <w:szCs w:val="28"/>
        </w:rPr>
        <w:t>客户号 ：</w:t>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t>____________</w:t>
      </w:r>
    </w:p>
    <w:p>
      <w:pPr>
        <w:spacing w:line="360" w:lineRule="auto"/>
        <w:ind w:right="560"/>
        <w:rPr>
          <w:rFonts w:hint="eastAsia" w:ascii="仿宋" w:hAnsi="仿宋" w:eastAsia="仿宋" w:cs="Times New Roman"/>
          <w:sz w:val="28"/>
          <w:szCs w:val="28"/>
        </w:rPr>
      </w:pPr>
      <w:r>
        <w:rPr>
          <w:rFonts w:hint="eastAsia" w:ascii="仿宋" w:hAnsi="仿宋" w:eastAsia="仿宋" w:cs="Times New Roman"/>
          <w:sz w:val="28"/>
          <w:szCs w:val="28"/>
        </w:rPr>
        <w:t>投资者（代理人）签字：</w:t>
      </w:r>
    </w:p>
    <w:p>
      <w:pPr>
        <w:spacing w:line="360" w:lineRule="auto"/>
        <w:ind w:right="560"/>
        <w:rPr>
          <w:rFonts w:hint="eastAsia" w:ascii="仿宋" w:hAnsi="仿宋" w:eastAsia="仿宋" w:cs="Times New Roman"/>
          <w:sz w:val="28"/>
          <w:szCs w:val="28"/>
        </w:rPr>
      </w:pPr>
      <w:r>
        <w:rPr>
          <w:rFonts w:hint="eastAsia" w:ascii="仿宋" w:hAnsi="仿宋" w:eastAsia="仿宋" w:cs="Times New Roman"/>
          <w:sz w:val="28"/>
          <w:szCs w:val="28"/>
        </w:rPr>
        <w:t xml:space="preserve">（非自然人客户纸质签署需加盖公章） </w:t>
      </w:r>
    </w:p>
    <w:p>
      <w:pPr>
        <w:spacing w:line="360" w:lineRule="auto"/>
        <w:ind w:right="560"/>
        <w:rPr>
          <w:rFonts w:ascii="仿宋" w:hAnsi="仿宋" w:eastAsia="仿宋" w:cs="Times New Roman"/>
          <w:sz w:val="28"/>
          <w:szCs w:val="28"/>
        </w:rPr>
      </w:pPr>
      <w:r>
        <w:rPr>
          <w:rFonts w:hint="eastAsia" w:ascii="仿宋" w:hAnsi="仿宋" w:eastAsia="仿宋" w:cs="Times New Roman"/>
          <w:sz w:val="28"/>
          <w:szCs w:val="28"/>
        </w:rPr>
        <w:t>签署日期：    年     月     日</w:t>
      </w:r>
    </w:p>
    <w:p>
      <w:pPr>
        <w:spacing w:line="360" w:lineRule="auto"/>
        <w:ind w:right="560"/>
        <w:rPr>
          <w:rFonts w:ascii="仿宋" w:hAnsi="仿宋" w:eastAsia="仿宋"/>
          <w:sz w:val="28"/>
          <w:szCs w:val="28"/>
        </w:rPr>
      </w:pPr>
      <w:r>
        <w:rPr>
          <w:rFonts w:hint="eastAsia" w:ascii="仿宋" w:hAnsi="仿宋" w:eastAsia="仿宋"/>
          <w:sz w:val="28"/>
          <w:szCs w:val="28"/>
        </w:rPr>
        <w:t>经办人：</w:t>
      </w:r>
    </w:p>
    <w:p>
      <w:pPr>
        <w:spacing w:line="360" w:lineRule="auto"/>
        <w:ind w:right="560"/>
        <w:rPr>
          <w:rFonts w:ascii="仿宋" w:hAnsi="仿宋" w:eastAsia="仿宋"/>
          <w:sz w:val="28"/>
          <w:szCs w:val="28"/>
        </w:rPr>
      </w:pPr>
      <w:r>
        <w:rPr>
          <w:rFonts w:hint="eastAsia" w:ascii="仿宋" w:hAnsi="仿宋" w:eastAsia="仿宋"/>
          <w:sz w:val="28"/>
          <w:szCs w:val="28"/>
        </w:rPr>
        <w:t>复核人：</w:t>
      </w:r>
    </w:p>
    <w:p>
      <w:pPr>
        <w:spacing w:line="360" w:lineRule="auto"/>
        <w:ind w:right="560"/>
        <w:rPr>
          <w:rFonts w:ascii="仿宋" w:hAnsi="仿宋" w:eastAsia="仿宋" w:cs="Times New Roman"/>
          <w:sz w:val="28"/>
          <w:szCs w:val="28"/>
        </w:rPr>
      </w:pPr>
      <w:r>
        <w:rPr>
          <w:rFonts w:hint="eastAsia" w:ascii="仿宋" w:hAnsi="仿宋" w:eastAsia="仿宋"/>
          <w:sz w:val="28"/>
          <w:szCs w:val="28"/>
        </w:rPr>
        <w:t>（加盖分支机构业务受理章）</w:t>
      </w:r>
    </w:p>
    <w:p>
      <w:pPr>
        <w:spacing w:line="360" w:lineRule="auto"/>
        <w:jc w:val="left"/>
        <w:rPr>
          <w:rFonts w:ascii="仿宋" w:hAnsi="仿宋" w:eastAsia="仿宋"/>
          <w:sz w:val="28"/>
          <w:szCs w:val="28"/>
        </w:rPr>
      </w:pPr>
      <w:r>
        <w:rPr>
          <w:rFonts w:ascii="仿宋" w:hAnsi="仿宋" w:eastAsia="仿宋"/>
          <w:sz w:val="28"/>
          <w:szCs w:val="28"/>
        </w:rPr>
        <w:t>签署日期</w:t>
      </w:r>
      <w:r>
        <w:rPr>
          <w:rFonts w:hint="eastAsia" w:ascii="仿宋" w:hAnsi="仿宋" w:eastAsia="仿宋"/>
          <w:sz w:val="28"/>
          <w:szCs w:val="28"/>
        </w:rPr>
        <w:t>：    年     月    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218906"/>
    </w:sdtPr>
    <w:sdtContent>
      <w:p>
        <w:pPr>
          <w:pStyle w:val="5"/>
          <w:jc w:val="center"/>
        </w:pPr>
        <w:r>
          <w:fldChar w:fldCharType="begin"/>
        </w:r>
        <w:r>
          <w:instrText xml:space="preserve"> PAGE   \* MERGEFORMAT </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80C"/>
    <w:rsid w:val="00382A55"/>
    <w:rsid w:val="006A57A2"/>
    <w:rsid w:val="0073780C"/>
    <w:rsid w:val="0D8A7A94"/>
    <w:rsid w:val="27AA26A8"/>
    <w:rsid w:val="3E6812A1"/>
    <w:rsid w:val="6C752586"/>
    <w:rsid w:val="7CD64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qFormat/>
    <w:uiPriority w:val="0"/>
    <w:pPr>
      <w:widowControl/>
      <w:spacing w:line="360" w:lineRule="auto"/>
      <w:ind w:firstLine="480" w:firstLineChars="200"/>
    </w:pPr>
    <w:rPr>
      <w:rFonts w:ascii="Times New Roman" w:hAnsi="Times New Roman" w:eastAsia="宋体" w:cs="Times New Roman"/>
      <w:sz w:val="24"/>
      <w:szCs w:val="24"/>
    </w:rPr>
  </w:style>
  <w:style w:type="paragraph" w:styleId="3">
    <w:name w:val="Plain Text"/>
    <w:basedOn w:val="1"/>
    <w:link w:val="10"/>
    <w:qFormat/>
    <w:uiPriority w:val="0"/>
    <w:rPr>
      <w:rFonts w:ascii="宋体" w:hAnsi="Courier New" w:eastAsia="宋体" w:cs="Times New Roman"/>
      <w:szCs w:val="20"/>
    </w:rPr>
  </w:style>
  <w:style w:type="paragraph" w:styleId="4">
    <w:name w:val="Balloon Text"/>
    <w:basedOn w:val="1"/>
    <w:link w:val="12"/>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正文文本缩进 Char"/>
    <w:basedOn w:val="8"/>
    <w:link w:val="2"/>
    <w:qFormat/>
    <w:uiPriority w:val="0"/>
    <w:rPr>
      <w:rFonts w:ascii="Times New Roman" w:hAnsi="Times New Roman" w:eastAsia="宋体" w:cs="Times New Roman"/>
      <w:sz w:val="24"/>
      <w:szCs w:val="24"/>
    </w:rPr>
  </w:style>
  <w:style w:type="character" w:customStyle="1" w:styleId="10">
    <w:name w:val="纯文本 Char"/>
    <w:basedOn w:val="8"/>
    <w:link w:val="3"/>
    <w:qFormat/>
    <w:uiPriority w:val="0"/>
    <w:rPr>
      <w:rFonts w:ascii="宋体" w:hAnsi="Courier New" w:eastAsia="宋体" w:cs="Times New Roman"/>
      <w:szCs w:val="20"/>
    </w:rPr>
  </w:style>
  <w:style w:type="character" w:customStyle="1" w:styleId="11">
    <w:name w:val="页脚 Char"/>
    <w:basedOn w:val="8"/>
    <w:link w:val="5"/>
    <w:qFormat/>
    <w:uiPriority w:val="99"/>
    <w:rPr>
      <w:sz w:val="18"/>
      <w:szCs w:val="18"/>
    </w:rPr>
  </w:style>
  <w:style w:type="character" w:customStyle="1" w:styleId="12">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228</Words>
  <Characters>1300</Characters>
  <Lines>10</Lines>
  <Paragraphs>3</Paragraphs>
  <TotalTime>0</TotalTime>
  <ScaleCrop>false</ScaleCrop>
  <LinksUpToDate>false</LinksUpToDate>
  <CharactersWithSpaces>1525</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2021-05-14T03:10:00Z</dcterms:created>
  <dc:creator>曹雪怡</dc:creator>
  <cp:lastModifiedBy>hebowen</cp:lastModifiedBy>
  <dcterms:modified xsi:type="dcterms:W3CDTF">2026-07-01T02:24:24Z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FB57F4D3F6BC438BBE75EE797165C273</vt:lpwstr>
  </property>
</Properties>
</file>